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IFRS-Bilanzierungsrichtlinie IFRS 15 – Umsatzerloese aus Vertraegen mit Kunden</w:t>
      </w:r>
    </w:p>
    <w:p>
      <w:pPr>
        <w:jc w:val="center"/>
      </w:pPr>
      <w:r>
        <w:t>Verbindlich fuer alle Konzerngesellschaften der Brennhagen-Gruppe, Stand 2023</w:t>
      </w:r>
    </w:p>
    <w:p/>
    <w:p>
      <w:pPr>
        <w:pStyle w:val="Heading3"/>
      </w:pPr>
      <w:r>
        <w:t>Geltungsbereich</w:t>
      </w:r>
    </w:p>
    <w:p>
      <w:r>
        <w:t>Diese Bilanzierungsrichtlinie konkretisiert die Anwendung von IFRS 15 (Umsatzerloese aus Vertraegen mit Kunden) in der Brennhagen-Gruppe. Sie gilt fuer alle Konzerngesellschaften (REA, REG, RSG, RPL, RCZ, RHU, RCN, RHO) und ist Pflicht-Bestandteil der Konzern-Reportingrichtlinie 2023. Pruefer: KPMG AG WPG (Audit Lead Dr. Maximilian Brand).</w:t>
      </w:r>
    </w:p>
    <w:p>
      <w:pPr>
        <w:pStyle w:val="Heading3"/>
      </w:pPr>
      <w:r>
        <w:t>Scope und Definitionen</w:t>
      </w:r>
    </w:p>
    <w:p>
      <w:r>
        <w:t>IFRS 15 etabliert ein 5-Schritte-Modell fuer die Umsatzrealisierung. Fuer Brennhagen als Automotive-Tier-1 mit langlaufenden Vertraegen ueber OEM-Programme (Volumen meist 3-7 Jahre) ist die korrekte Identifizierung von Leistungsverpflichtungen und Allokation der Transaktionspreise zentral.</w:t>
      </w:r>
    </w:p>
    <w:p>
      <w:pPr>
        <w:pStyle w:val="Heading3"/>
      </w:pPr>
      <w:r>
        <w:t>Wesentliche Regelungen</w:t>
      </w:r>
    </w:p>
    <w:p>
      <w:pPr>
        <w:pStyle w:val="ListBullet"/>
      </w:pPr>
      <w:r>
        <w:t>5-Schritte-Modell: (1) Identifizierung des Vertrags; (2) Identifizierung der Leistungsverpflichtungen; (3) Bestimmung des Transaktionspreises; (4) Allokation des Transaktionspreises auf die Leistungsverpflichtungen; (5) Erfassung des Umsatzes bei Erfuellung der Leistungsverpflichtung.</w:t>
      </w:r>
    </w:p>
    <w:p>
      <w:pPr>
        <w:pStyle w:val="ListBullet"/>
      </w:pPr>
      <w:r>
        <w:t>Bei OEM-Auftraegen erfolgt Umsatzrealisierung bei Uebertragung der Verfuegungsmacht (in der Regel DAP-Lieferung an OEM-Werk; Eigentum geht ueber, Risiko und Nutzen liegen beim Kunden).</w:t>
      </w:r>
    </w:p>
    <w:p>
      <w:pPr>
        <w:pStyle w:val="ListBullet"/>
      </w:pPr>
      <w:r>
        <w:t>Sonderzahlungen (Entwicklungs-/Anlauf-Tools) werden ueber die Laufzeit der Lieferungen verteilt (Abgrenzung als Vertragsverbindlichkeit, allokiert auf einzelne Einheiten).</w:t>
      </w:r>
    </w:p>
    <w:p>
      <w:pPr>
        <w:pStyle w:val="ListBullet"/>
      </w:pPr>
      <w:r>
        <w:t>Variable Vergutung (Mengenrabatte, Volumen-Boni, Preisanpassungsklauseln) wird ueber die geschaetzte zu erwartende Hoehe in den Transaktionspreis einbezogen (Expected-Value-Methode).</w:t>
      </w:r>
    </w:p>
    <w:p>
      <w:pPr>
        <w:pStyle w:val="ListBullet"/>
      </w:pPr>
      <w:r>
        <w:t>Garantien werden in Service- und Assurance-Garantien aufgeteilt; Service-Garantien werden als separate Leistungsverpflichtungen behandelt (Tool-/Wartungsumsatz).</w:t>
      </w:r>
    </w:p>
    <w:p>
      <w:pPr>
        <w:pStyle w:val="Heading3"/>
      </w:pPr>
      <w:r>
        <w:t>Anwendung in der Brennhagen-Gruppe (Beispiele)</w:t>
      </w:r>
    </w:p>
    <w:p>
      <w:r>
        <w:t>Wesentliche Vertraege: BMW ICP-3 (Volumen 850 Mio. EUR / 5 Jahre), VW BMS-12 (280 Mio. EUR / 7 J.), Mercedes ADAS-V4D (380 Mio. EUR / 5 J.), Stellantis ECU-900 (210 Mio. EUR / 4 J.). Sonderzahlungen Entwicklungs-Tools 2023: 12,8 Mio. EUR (abgegrenzt). Variable Vergutung (Mengenboni VW, Stellantis) im Plan 2023: 4,2 Mio. EUR Rueckstellung.</w:t>
      </w:r>
    </w:p>
    <w:p>
      <w:pPr>
        <w:pStyle w:val="Heading3"/>
      </w:pPr>
      <w:r>
        <w:t>Wesentliche Ermessenspielraeume und Schaetzungen</w:t>
      </w:r>
    </w:p>
    <w:p>
      <w:r>
        <w:t>Schaetzungen betreffen insbesondere: (a) Erwartete Gesamtmengen ueber Vertragslaufzeit (Basis OEM-Programm-Forecast +/-15 %); (b) Anteil der Service-Garantien (basierend auf historischen Schadenquoten 0,6-1,2 %); (c) Variable Vergutung (Probability-Weighted Expected Value). Aenderungen werden prospektiv beruecksichtigt.</w:t>
      </w:r>
    </w:p>
    <w:p>
      <w:pPr>
        <w:pStyle w:val="Heading3"/>
      </w:pPr>
      <w:r>
        <w:t>Reporting-Anforderungen</w:t>
      </w:r>
    </w:p>
    <w:p>
      <w:r>
        <w:t>Quartalsweise Berichterstattung im IFRS-Konsolidierungstool (HFM / OneStream). Ausserplanmaessige Anhaltspunkte (z. B. Impairment-Indikatoren) sind unverzueglich an die Konzern-Bilanzierung (Group Controller Florian Maier) zu melden. Aenderungen dieser Richtlinie beduerfen der Zustimmung des CFO.</w:t>
      </w:r>
    </w:p>
    <w:p>
      <w:pPr>
        <w:pStyle w:val="Heading3"/>
      </w:pPr>
      <w:r>
        <w:t>Letzte Aktualisierung / Verantwortlich</w:t>
      </w:r>
    </w:p>
    <w:p>
      <w:r>
        <w:t>Letzte Aktualisierung: 14. November 2023. Verantwortlich: Group Controller Florian Maier; Review CFO Laura Bauer; finale Freigabe Pruefungsausschuss (Sitzung 14.9.2023).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