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IFRS-Bilanzierungsrichtlinie IFRS 16 – Leasingverhaeltnisse</w:t>
      </w:r>
    </w:p>
    <w:p>
      <w:pPr>
        <w:jc w:val="center"/>
      </w:pPr>
      <w:r>
        <w:t>Verbindlich fuer alle Konzerngesellschaften der Brennhagen-Gruppe, Stand 2023</w:t>
      </w:r>
    </w:p>
    <w:p/>
    <w:p>
      <w:pPr>
        <w:pStyle w:val="Heading3"/>
      </w:pPr>
      <w:r>
        <w:t>Geltungsbereich</w:t>
      </w:r>
    </w:p>
    <w:p>
      <w:r>
        <w:t>Diese Bilanzierungsrichtlinie konkretisiert die Anwendung von IFRS 16 (Leasingverhaeltnisse) in der Brennhagen-Gruppe. Sie gilt fuer alle Konzerngesellschaften (REA, REG, RSG, RPL, RCZ, RHU, RCN, RHO) und ist Pflicht-Bestandteil der Konzern-Reportingrichtlinie 2023. Pruefer: KPMG AG WPG (Audit Lead Dr. Maximilian Brand).</w:t>
      </w:r>
    </w:p>
    <w:p>
      <w:pPr>
        <w:pStyle w:val="Heading3"/>
      </w:pPr>
      <w:r>
        <w:t>Scope und Definitionen</w:t>
      </w:r>
    </w:p>
    <w:p>
      <w:r>
        <w:t>IFRS 16 verlangt fuer Leasingnehmer die On-Balance-Bilanzierung saemtlicher Leasingverhaeltnisse (Right-of-Use-Asset + Lease-Liability). Bei der Brennhagen-Gruppe von wesentlicher Bedeutung wegen umfangreicher Liegenschafts-Leasings (Werke + Bueros) sowie Fuhrpark-Leasings.</w:t>
      </w:r>
    </w:p>
    <w:p>
      <w:pPr>
        <w:pStyle w:val="Heading3"/>
      </w:pPr>
      <w:r>
        <w:t>Wesentliche Regelungen</w:t>
      </w:r>
    </w:p>
    <w:p>
      <w:pPr>
        <w:pStyle w:val="ListBullet"/>
      </w:pPr>
      <w:r>
        <w:t>Recognition Exception fuer kurzfristige Leases (&lt;= 12 Monate) und Geringwertige Vermoegenswerte (&lt;= 5 TEUR Anschaffungswert) – wird Konzernweit angewandt.</w:t>
      </w:r>
    </w:p>
    <w:p>
      <w:pPr>
        <w:pStyle w:val="ListBullet"/>
      </w:pPr>
      <w:r>
        <w:t>Right-of-Use-Asset (RoU) wird zu Anschaffungskosten ergebniswirksam abgeschrieben (linear ueber Leasingdauer); Lease-Liability wird mittels Effektivzinsmethode getilgt (Zinsaufwand + Tilgungsanteil).</w:t>
      </w:r>
    </w:p>
    <w:p>
      <w:pPr>
        <w:pStyle w:val="ListBullet"/>
      </w:pPr>
      <w:r>
        <w:t>Diskontierungszinssatz: Incremental Borrowing Rate (IBR) je Konzerngesellschaft und Land ermittelt; Stand 31.12.2023: REA/REG/RSG 3,8 %, RPL 5,2 %, RCZ 5,4 %, RHU 7,8 %, RCN 4,2 %.</w:t>
      </w:r>
    </w:p>
    <w:p>
      <w:pPr>
        <w:pStyle w:val="ListBullet"/>
      </w:pPr>
      <w:r>
        <w:t>Verlaengerungsoptionen werden in die Leasingdauer einbezogen, soweit Ausuebung wahrscheinlich ist.</w:t>
      </w:r>
    </w:p>
    <w:p>
      <w:pPr>
        <w:pStyle w:val="ListBullet"/>
      </w:pPr>
      <w:r>
        <w:t>Modifikationen (Anpassung Mietzins, Flaechenanpassung, Restrukturierung) loesen Re-Measurement des Lease-Liability aus; ggfs. Erfassung im Profit/Loss.</w:t>
      </w:r>
    </w:p>
    <w:p>
      <w:pPr>
        <w:pStyle w:val="Heading3"/>
      </w:pPr>
      <w:r>
        <w:t>Anwendung in der Brennhagen-Gruppe (Beispiele)</w:t>
      </w:r>
    </w:p>
    <w:p>
      <w:r>
        <w:t>Wesentliche Leasings zum 31.12.2023: (a) Hauptsitz REA Stuttgart (Vaihinger Strasse 120) RoU 22,4 Mio. EUR, Restlaufzeit 12 Jahre; (b) Werk Katowice RPL (RoU 14,8 Mio., 18 J.); (c) Werk Brno RCZ (RoU 12,1 Mio., 16 J.); (d) Werk Gyoer RHU (RoU 9,6 Mio., 14 J.); (e) Werk Shanghai RCN (RoU 4,8 Mio., 8 J.); (f) Fuhrpark Konzern (RoU 8,2 Mio., Ø 3 J.). Gesamt RoU 71,9 Mio. EUR; Lease Liability 68,4 Mio. EUR.</w:t>
      </w:r>
    </w:p>
    <w:p>
      <w:pPr>
        <w:pStyle w:val="Heading3"/>
      </w:pPr>
      <w:r>
        <w:t>Wesentliche Ermessenspielraeume und Schaetzungen</w:t>
      </w:r>
    </w:p>
    <w:p>
      <w:r>
        <w:t>Schaetzungen betreffen: Ausuebung von Verlaengerungsoptionen (z. B. RPL Werk Katowice mit 2 x 5 Jahre Option – Wahrscheinlichkeit 90 % bewertet), IBR-Bestimmung (Bench gegen lokale Anleihezinsen), Restwert-Garantien (bei Fuhrpark unueblich). Verlaengerungsoptionen werden im Anhang ausgewiesen.</w:t>
      </w:r>
    </w:p>
    <w:p>
      <w:pPr>
        <w:pStyle w:val="Heading3"/>
      </w:pPr>
      <w:r>
        <w:t>Reporting-Anforderungen</w:t>
      </w:r>
    </w:p>
    <w:p>
      <w:r>
        <w:t>Quartalsweise Berichterstattung im IFRS-Konsolidierungstool (HFM / OneStream). Ausserplanmaessige Anhaltspunkte (z. B. Impairment-Indikatoren) sind unverzueglich an die Konzern-Bilanzierung (Group Controller Florian Maier) zu melden. Aenderungen dieser Richtlinie beduerfen der Zustimmung des CFO.</w:t>
      </w:r>
    </w:p>
    <w:p>
      <w:pPr>
        <w:pStyle w:val="Heading3"/>
      </w:pPr>
      <w:r>
        <w:t>Letzte Aktualisierung / Verantwortlich</w:t>
      </w:r>
    </w:p>
    <w:p>
      <w:r>
        <w:t>Letzte Aktualisierung: 14. November 2023. Verantwortlich: Group Controller Florian Maier; Review CFO Laura Bauer; finale Freigabe Pruefungsausschuss (Sitzung 14.9.2023).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