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IFRS-Bilanzierungsrichtlinie IFRS 3 – Unternehmenszusammenschluesse</w:t>
      </w:r>
    </w:p>
    <w:p>
      <w:pPr>
        <w:jc w:val="center"/>
      </w:pPr>
      <w:r>
        <w:t>Verbindlich fuer alle Konzerngesellschaften der Brennhagen-Gruppe, Stand 2023</w:t>
      </w:r>
    </w:p>
    <w:p/>
    <w:p>
      <w:pPr>
        <w:pStyle w:val="Heading3"/>
      </w:pPr>
      <w:r>
        <w:t>Geltungsbereich</w:t>
      </w:r>
    </w:p>
    <w:p>
      <w:r>
        <w:t>Diese Bilanzierungsrichtlinie konkretisiert die Anwendung von IFRS 3 (Unternehmenszusammenschluesse) in der Brennhagen-Gruppe. Sie gilt fuer alle Konzerngesellschaften (REA, REG, RSG, RPL, RCZ, RHU, RCN, RHO) und ist Pflicht-Bestandteil der Konzern-Reportingrichtlinie 2023. Pruefer: KPMG AG WPG (Audit Lead Dr. Maximilian Brand).</w:t>
      </w:r>
    </w:p>
    <w:p>
      <w:pPr>
        <w:pStyle w:val="Heading3"/>
      </w:pPr>
      <w:r>
        <w:t>Scope und Definitionen</w:t>
      </w:r>
    </w:p>
    <w:p>
      <w:r>
        <w:t>IFRS 3 regelt die bilanzielle Behandlung von Unternehmenszusammenschluessen. Anwendung der Acquisition-Methode (Erwerbsmethode): Identifizierung des Erwerbers, Bestimmung des Erwerbsstichtages, Bilanzierung der erworbenen Vermoegenswerte / uebernommenen Schulden zum beizulegenden Zeitwert und Erfassung des Goodwill als Residualgroesse.</w:t>
      </w:r>
    </w:p>
    <w:p>
      <w:pPr>
        <w:pStyle w:val="Heading3"/>
      </w:pPr>
      <w:r>
        <w:t>Wesentliche Regelungen</w:t>
      </w:r>
    </w:p>
    <w:p>
      <w:pPr>
        <w:pStyle w:val="ListBullet"/>
      </w:pPr>
      <w:r>
        <w:t>Acquisition-Methode obligatorisch fuer alle Business-Combinations; Asset-Deals werden separat behandelt (Asset Purchase Allocation).</w:t>
      </w:r>
    </w:p>
    <w:p>
      <w:pPr>
        <w:pStyle w:val="ListBullet"/>
      </w:pPr>
      <w:r>
        <w:t>Identifizierte Vermoegenswerte (insb. immaterielle: Kundenbeziehungen, Marken, Technologie, Auftragsbestand) werden zum Fair Value angesetzt; Bewertung durch externe Gutachter (KPMG Valuation Services oder PwC Deals).</w:t>
      </w:r>
    </w:p>
    <w:p>
      <w:pPr>
        <w:pStyle w:val="ListBullet"/>
      </w:pPr>
      <w:r>
        <w:t>Goodwill = Kaufpreis (inkl. Earn-Outs zum Fair Value) - Fair Value Net Identifiable Assets. Goodwill wird nicht planmaessig abgeschrieben, sondern jaehrlich impairment-getestet (IAS 36).</w:t>
      </w:r>
    </w:p>
    <w:p>
      <w:pPr>
        <w:pStyle w:val="ListBullet"/>
      </w:pPr>
      <w:r>
        <w:t>Transaktionskosten (Beratung, Legal, M&amp;A) werden im Profit/Loss als Aufwand erfasst (nicht im Goodwill kapitalisiert).</w:t>
      </w:r>
    </w:p>
    <w:p>
      <w:pPr>
        <w:pStyle w:val="ListBullet"/>
      </w:pPr>
      <w:r>
        <w:t>Earn-Outs werden zum Fair Value erfasst; nachtraegliche Anpassungen ueber Profit/Loss (Liability Classification) oder im Eigenkapital (Equity Classification).</w:t>
      </w:r>
    </w:p>
    <w:p>
      <w:pPr>
        <w:pStyle w:val="Heading3"/>
      </w:pPr>
      <w:r>
        <w:t>Anwendung in der Brennhagen-Gruppe (Beispiele)</w:t>
      </w:r>
    </w:p>
    <w:p>
      <w:r>
        <w:t>Wesentliche Acquisitions der Vergangenheit: (a) 2018 SensoElectro GmbH, Wiesbaden (Sensorik fuer ADAS); Kaufpreis 52,4 Mio. EUR; Goodwill 28,4 Mio. EUR; (b) 2021 SilicaTech Sp. z o.o., Krakau (SiC-Halbleiter-Engineering); Asset-Deal Kaufpreis 12,8 Mio. EUR, keine Goodwill-Entstehung; (c) 2022 EmbedSoft AG, Aachen (Software-Entwicklung Embedded Linux); Kaufpreis 18,4 Mio. EUR inkl. Earn-Out 3,6 Mio. EUR; Goodwill 8,2 Mio. EUR. Gesamter konsolidierter Goodwill 31.12.2023: 38,2 Mio. EUR.</w:t>
      </w:r>
    </w:p>
    <w:p>
      <w:pPr>
        <w:pStyle w:val="Heading3"/>
      </w:pPr>
      <w:r>
        <w:t>Wesentliche Ermessenspielraeume und Schaetzungen</w:t>
      </w:r>
    </w:p>
    <w:p>
      <w:r>
        <w:t>Werthaltigkeitspruefung (Impairment Test) jaehrlich gemaess IAS 36; Allokation des Goodwills auf Cash-Generating-Units (CGU): SensoElectro -&gt; CGU ADAS; EmbedSoft -&gt; CGU Software/RSG. Bewertung mittels Discounted Cash Flow (5-Jahres-Plan + Terminal Value), WACC 8,4 %, Wachstumsrate Terminal Value 1,5 %. Headroom (Recoverable Amount - Buchwert): ADAS 22 %, Software 28 %. Keine Wertminderung 2023 noetig.</w:t>
      </w:r>
    </w:p>
    <w:p>
      <w:pPr>
        <w:pStyle w:val="Heading3"/>
      </w:pPr>
      <w:r>
        <w:t>Reporting-Anforderungen</w:t>
      </w:r>
    </w:p>
    <w:p>
      <w:r>
        <w:t>Quartalsweise Berichterstattung im IFRS-Konsolidierungstool (HFM / OneStream). Ausserplanmaessige Anhaltspunkte (z. B. Impairment-Indikatoren) sind unverzueglich an die Konzern-Bilanzierung (Group Controller Florian Maier) zu melden. Aenderungen dieser Richtlinie beduerfen der Zustimmung des CFO.</w:t>
      </w:r>
    </w:p>
    <w:p>
      <w:pPr>
        <w:pStyle w:val="Heading3"/>
      </w:pPr>
      <w:r>
        <w:t>Letzte Aktualisierung / Verantwortlich</w:t>
      </w:r>
    </w:p>
    <w:p>
      <w:r>
        <w:t>Letzte Aktualisierung: 14. November 2023. Verantwortlich: Group Controller Florian Maier; Review CFO Laura Bauer; finale Freigabe Pruefungsausschuss (Sitzung 14.9.2023).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