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IFRS-Bilanzierungsrichtlinie IFRS 9 – Finanzinstrumente</w:t>
      </w:r>
    </w:p>
    <w:p>
      <w:pPr>
        <w:jc w:val="center"/>
      </w:pPr>
      <w:r>
        <w:t>Verbindlich fuer alle Konzerngesellschaften der Brennhagen-Gruppe, Stand 2023</w:t>
      </w:r>
    </w:p>
    <w:p/>
    <w:p>
      <w:pPr>
        <w:pStyle w:val="Heading3"/>
      </w:pPr>
      <w:r>
        <w:t>Geltungsbereich</w:t>
      </w:r>
    </w:p>
    <w:p>
      <w:r>
        <w:t>Diese Bilanzierungsrichtlinie konkretisiert die Anwendung von IFRS 9 (Finanzinstrumente) in der Brennhagen-Gruppe. Sie gilt fuer alle Konzerngesellschaften (REA, REG, RSG, RPL, RCZ, RHU, RCN, RHO) und ist Pflicht-Bestandteil der Konzern-Reportingrichtlinie 2023. Pruefer: KPMG AG WPG (Audit Lead Dr. Maximilian Brand).</w:t>
      </w:r>
    </w:p>
    <w:p>
      <w:pPr>
        <w:pStyle w:val="Heading3"/>
      </w:pPr>
      <w:r>
        <w:t>Scope und Definitionen</w:t>
      </w:r>
    </w:p>
    <w:p>
      <w:r>
        <w:t>IFRS 9 regelt die Klassifizierung und Bewertung von Finanzinstrumenten sowie das Hedge Accounting (loese IAS 39 ab). Drei Klassifizierungskategorien fuer finanzielle Vermoegenswerte: At Amortised Cost, FVOCI (Fair Value through OCI), FVPL (Fair Value through P/L). Expected-Credit-Loss-Modell (ECL) fuer Wertberichtigungen (anstelle Incurred-Loss-Model).</w:t>
      </w:r>
    </w:p>
    <w:p>
      <w:pPr>
        <w:pStyle w:val="Heading3"/>
      </w:pPr>
      <w:r>
        <w:t>Wesentliche Regelungen</w:t>
      </w:r>
    </w:p>
    <w:p>
      <w:pPr>
        <w:pStyle w:val="ListBullet"/>
      </w:pPr>
      <w:r>
        <w:t>Klassifizierung erfolgt anhand des Geschaeftsmodells und der Cashflow-Eigenschaften (SPPI-Test = Solely Payments of Principal and Interest).</w:t>
      </w:r>
    </w:p>
    <w:p>
      <w:pPr>
        <w:pStyle w:val="ListBullet"/>
      </w:pPr>
      <w:r>
        <w:t>Operative Forderungen aus L+L sowie Bankguthaben werden i. d. R. zu Amortised Cost bewertet (Halten zur Vereinnahmung der Cashflows; SPPI erfuellt).</w:t>
      </w:r>
    </w:p>
    <w:p>
      <w:pPr>
        <w:pStyle w:val="ListBullet"/>
      </w:pPr>
      <w:r>
        <w:t>ECL-Bewertung: 3-stufiges Modell (Stage 1: 12-Monats-ECL; Stage 2: Lifetime-ECL ab signifikanter Verschlechterung der Bonitaet; Stage 3: tatsaechliche Wertminderung).</w:t>
      </w:r>
    </w:p>
    <w:p>
      <w:pPr>
        <w:pStyle w:val="ListBullet"/>
      </w:pPr>
      <w:r>
        <w:t>Vereinfachte Methode (Lifetime-ECL) wird fuer Trade Receivables ohne signifikante Finanzierungskomponente angewandt.</w:t>
      </w:r>
    </w:p>
    <w:p>
      <w:pPr>
        <w:pStyle w:val="ListBullet"/>
      </w:pPr>
      <w:r>
        <w:t>Hedge Accounting: Cashflow-Hedge fuer FX-Forwards (siehe FX-Hedge-Berichte); Net-Investment Hedge fuer Tochter-Investments; Fair-Value-Hedge fuer Zinsswaps auf Konsortialkredit-Anteile.</w:t>
      </w:r>
    </w:p>
    <w:p>
      <w:pPr>
        <w:pStyle w:val="Heading3"/>
      </w:pPr>
      <w:r>
        <w:t>Anwendung in der Brennhagen-Gruppe (Beispiele)</w:t>
      </w:r>
    </w:p>
    <w:p>
      <w:r>
        <w:t>Trade Receivables zum 31.12.2023: 142,5 Mio. EUR; ECL-Wertberichtigung 1,8 Mio. EUR (1,3 %); in der Sektor-Concentration vergleichsweise niedrig wegen Premium-OEM-Kundenstamm (BMW, Mercedes, VW, Stellantis – alle Investment-Grade-Rating). Finanzielle Vermoegenswerte FVOCI: 8,4 Mio. EUR (Eigenkapital-Beteiligungen Joint Ventures); FVPL: 4,2 Mio. EUR (Derivate aus FX-Hedging-Aktivitaeten). Cash and Cash Equivalents 184 Mio. EUR (At Amortised Cost).</w:t>
      </w:r>
    </w:p>
    <w:p>
      <w:pPr>
        <w:pStyle w:val="Heading3"/>
      </w:pPr>
      <w:r>
        <w:t>Wesentliche Ermessenspielraeume und Schaetzungen</w:t>
      </w:r>
    </w:p>
    <w:p>
      <w:r>
        <w:t>ECL-Modell verwendet eine Mischung aus historischen Ausfallquoten und Forward-Looking Macro-Faktoren (BIP-Wachstum DACH/EU, Automotive-Produktionsindex, Insolvenzquoten Sektor). Sensitivitaet: Erhoehung der erwarteten Ausfallquote um 50 bp wuerde ECL um 0,7 Mio. EUR erhoehen. Hedge-Effectiveness wird quartalsweise getestet; keine ineffektiven Hedges 2023 dokumentiert.</w:t>
      </w:r>
    </w:p>
    <w:p>
      <w:pPr>
        <w:pStyle w:val="Heading3"/>
      </w:pPr>
      <w:r>
        <w:t>Reporting-Anforderungen</w:t>
      </w:r>
    </w:p>
    <w:p>
      <w:r>
        <w:t>Quartalsweise Berichterstattung im IFRS-Konsolidierungstool (HFM / OneStream). Ausserplanmaessige Anhaltspunkte (z. B. Impairment-Indikatoren) sind unverzueglich an die Konzern-Bilanzierung (Group Controller Florian Maier) zu melden. Aenderungen dieser Richtlinie beduerfen der Zustimmung des CFO.</w:t>
      </w:r>
    </w:p>
    <w:p>
      <w:pPr>
        <w:pStyle w:val="Heading3"/>
      </w:pPr>
      <w:r>
        <w:t>Letzte Aktualisierung / Verantwortlich</w:t>
      </w:r>
    </w:p>
    <w:p>
      <w:r>
        <w:t>Letzte Aktualisierung: 14. November 2023. Verantwortlich: Group Controller Florian Maier; Review CFO Laura Bauer; finale Freigabe Pruefungsausschuss (Sitzung 14.9.2023).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