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Konsortialkredit-Rahmenvertrag 2022 – Senior Facility 250 Mio. EUR</w:t>
      </w:r>
    </w:p>
    <w:p>
      <w:pPr>
        <w:jc w:val="center"/>
      </w:pPr>
      <w:r>
        <w:t>Vertrag vom 14. Maerz 2022; Laufzeit bis 14. Maerz 2027</w:t>
      </w:r>
    </w:p>
    <w:p/>
    <w:p>
      <w:pPr>
        <w:pStyle w:val="Heading3"/>
      </w:pPr>
      <w:r>
        <w:t>Vertragsparteien</w:t>
      </w:r>
    </w:p>
    <w:p>
      <w:r>
        <w:t>Kreditnehmerin: Brennhagen Elektronik AG (auch fuer Tochtergesellschaften REG, RSG, RPL, RCZ, RHU, RCN als Garantiegeber).</w:t>
      </w:r>
    </w:p>
    <w:p>
      <w:r>
        <w:t>Konsortium (5 Banken):</w:t>
        <w:br/>
        <w:t>- Deutsche Bank AG (Konsortialfuehrerin, Agent, 80 Mio. EUR / 32 %)</w:t>
        <w:br/>
        <w:t>- Commerzbank AG (40 Mio. EUR / 16 %)</w:t>
        <w:br/>
        <w:t>- UniCredit Bank AG (HypoVereinsbank) (50 Mio. EUR / 20 %)</w:t>
        <w:br/>
        <w:t>- BNP Paribas S.A. (40 Mio. EUR / 16 %)</w:t>
        <w:br/>
        <w:t>- HSBC Continental Europe S.A. (40 Mio. EUR / 16 %)</w:t>
      </w:r>
    </w:p>
    <w:p>
      <w:pPr>
        <w:pStyle w:val="Heading3"/>
      </w:pPr>
      <w:r>
        <w:t>Vertragsstruktur</w:t>
      </w:r>
    </w:p>
    <w:p>
      <w:r>
        <w:t>Tranche A (Termloan): 150 Mio. EUR, Laufzeit 5 Jahre, Tilgung am Ende (Bullet); Margin EURIBOR 6M + 110 bp.</w:t>
      </w:r>
    </w:p>
    <w:p>
      <w:r>
        <w:t>Tranche B (Revolving Credit Facility / RCF): 100 Mio. EUR, revolvierende Linie fuer Working-Capital, Laufzeit 5 Jahre; Commitment Fee 35 % der Margin auf nicht in Anspruch genommenen Betrag; Margin EURIBOR 6M + 95 bp.</w:t>
      </w:r>
    </w:p>
    <w:p>
      <w:pPr>
        <w:pStyle w:val="Heading3"/>
      </w:pPr>
      <w:r>
        <w:t>Wesentliche Klauseln</w:t>
      </w:r>
    </w:p>
    <w:p>
      <w:pPr>
        <w:pStyle w:val="Heading4"/>
      </w:pPr>
      <w:r>
        <w:t>§ 11 Financial Covenants</w:t>
      </w:r>
    </w:p>
    <w:p>
      <w:r>
        <w:rPr>
          <w:b/>
        </w:rPr>
        <w:t xml:space="preserve">(1) </w:t>
      </w:r>
      <w:r>
        <w:t>Net Debt / EBITDA (LTM) &lt;= 3,0x</w:t>
      </w:r>
    </w:p>
    <w:p>
      <w:r>
        <w:rPr>
          <w:b/>
        </w:rPr>
        <w:t xml:space="preserve">(2) </w:t>
      </w:r>
      <w:r>
        <w:t>Interest Coverage Ratio (EBITDA / Interest Expense) &gt;= 4,0x</w:t>
      </w:r>
    </w:p>
    <w:p>
      <w:r>
        <w:rPr>
          <w:b/>
        </w:rPr>
        <w:t xml:space="preserve">(3) </w:t>
      </w:r>
      <w:r>
        <w:t>Eigenkapitalquote (Konzern) &gt;= 30 %</w:t>
      </w:r>
    </w:p>
    <w:p>
      <w:r>
        <w:rPr>
          <w:b/>
        </w:rPr>
        <w:t xml:space="preserve">(4) </w:t>
      </w:r>
      <w:r>
        <w:t>Quartalsmaessiges Reporting (binnen 60 Tagen nach Quartalsende) und Jahres-Compliance Certificate (binnen 120 Tagen)</w:t>
      </w:r>
    </w:p>
    <w:p>
      <w:pPr>
        <w:pStyle w:val="Heading4"/>
      </w:pPr>
      <w:r>
        <w:t>§ 13 Sicherheiten / Garantien</w:t>
      </w:r>
    </w:p>
    <w:p>
      <w:r>
        <w:rPr>
          <w:b/>
        </w:rPr>
        <w:t xml:space="preserve">(1) </w:t>
      </w:r>
      <w:r>
        <w:t>Patronatserklaerung fuer wesentliche Tochtergesellschaften (REG, RSG, RPL, RCZ).</w:t>
      </w:r>
    </w:p>
    <w:p>
      <w:r>
        <w:rPr>
          <w:b/>
        </w:rPr>
        <w:t xml:space="preserve">(2) </w:t>
      </w:r>
      <w:r>
        <w:t>Negativerklaerung (kein Lasten-Recht auf Konzern-Assets &gt; 5 Mio. EUR ohne Konsens).</w:t>
      </w:r>
    </w:p>
    <w:p>
      <w:r>
        <w:rPr>
          <w:b/>
        </w:rPr>
        <w:t xml:space="preserve">(3) </w:t>
      </w:r>
      <w:r>
        <w:t>Cross-Default-Klausel fuer Verschuldung &gt; 10 Mio. EUR.</w:t>
      </w:r>
    </w:p>
    <w:p>
      <w:pPr>
        <w:pStyle w:val="Heading4"/>
      </w:pPr>
      <w:r>
        <w:t>§ 15 ESG / Sustainability</w:t>
      </w:r>
    </w:p>
    <w:p>
      <w:r>
        <w:rPr>
          <w:b/>
        </w:rPr>
        <w:t xml:space="preserve">(1) </w:t>
      </w:r>
      <w:r>
        <w:t>Sustainability-linked Margin Adjustment: +/- 5 bp je nach Erreichung der ESG-KPIs (Scope 1+2 Reduktion, Anteil erneuerbare Energie, Frauenanteil Fuehrungspositionen).</w:t>
      </w:r>
    </w:p>
    <w:p>
      <w:r>
        <w:rPr>
          <w:b/>
        </w:rPr>
        <w:t xml:space="preserve">(2) </w:t>
      </w:r>
      <w:r>
        <w:t>Jaehrliche Berichterstattung gegen ESG-KPIs durch Sustainability Officer.</w:t>
      </w:r>
    </w:p>
    <w:p>
      <w:pPr>
        <w:pStyle w:val="Heading4"/>
      </w:pPr>
      <w:r>
        <w:t>§ 17 Vorzeitige Tilgung</w:t>
      </w:r>
    </w:p>
    <w:p>
      <w:r>
        <w:rPr>
          <w:b/>
        </w:rPr>
        <w:t xml:space="preserve">(1) </w:t>
      </w:r>
      <w:r>
        <w:t>Vorzeitige Tilgung Tranche A jederzeit zulaessig (Make-Whole nicht erforderlich).</w:t>
      </w:r>
    </w:p>
    <w:p>
      <w:r>
        <w:rPr>
          <w:b/>
        </w:rPr>
        <w:t xml:space="preserve">(2) </w:t>
      </w:r>
      <w:r>
        <w:t>Mandatorische Vorabtilgung bei Change-of-Control (&gt;= 30 % Anteilsuebergang).</w:t>
      </w:r>
    </w:p>
    <w:p>
      <w:pPr>
        <w:pStyle w:val="Heading3"/>
      </w:pPr>
      <w:r>
        <w:t>Anwendbares Recht / Streitbeilegung</w:t>
      </w:r>
    </w:p>
    <w:p>
      <w:r>
        <w:t>Deutsches Recht. LMA Standard-Form (German Law-Variante). Streitigkeiten: Schiedsgericht DIS (Deutsche Institution fuer Schiedsgerichtsbarkeit) mit Sitz Frankfurt am Main. Anwaltliche Begleitung: Hengeler Mueller (Brennhagen); Linklaters (Konsortium).</w:t>
      </w:r>
    </w:p>
    <w:p>
      <w:pPr>
        <w:pStyle w:val="Heading3"/>
      </w:pPr>
      <w:r>
        <w:t>Unterschriften</w:t>
      </w:r>
    </w:p>
    <w:p>
      <w:r>
        <w:t>Ort, Datum: Stuttgart / Frankfurt, den 14. Maerz 2022</w:t>
      </w:r>
    </w:p>
    <w:p>
      <w:r>
        <w:t>_________________________            _________________________</w:t>
        <w:br/>
        <w:t>Anna Mueller / Laura Bauer                          Dr. Friedrich Stuetzel</w:t>
        <w:br/>
        <w:t>Vorstand                          Senior MD, Konsortialfuehrer</w:t>
        <w:br/>
        <w:t>Brennhagen Elektronik AG                       Deutsche Bank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