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Q1/2021</w:t>
      </w:r>
    </w:p>
    <w:p>
      <w:pPr>
        <w:jc w:val="center"/>
      </w:pPr>
      <w:r>
        <w:t>Vorlage Aufsichtsrat – Berichtsperiode 1. Januar bis 31. Maerz 2021</w:t>
      </w:r>
    </w:p>
    <w:p/>
    <w:p>
      <w:pPr>
        <w:pStyle w:val="Heading3"/>
      </w:pPr>
      <w:r>
        <w:t>Berichtsgegenstand</w:t>
      </w:r>
    </w:p>
    <w:p>
      <w:r>
        <w:t>Quartalsbericht der Konzern-Governance- und Compliance-Funktion fuer das Q1/2021. Berichtsempfaenger: Aufsichtsrat (Pruefungsausschuss / Compliance- und Risikoausschuss), Vorstand, Geschaeftsfuehrungen der Tochterwerke.</w:t>
      </w:r>
    </w:p>
    <w:p>
      <w:pPr>
        <w:pStyle w:val="Heading3"/>
      </w:pPr>
      <w:r>
        <w:t>Konzernstruktur</w:t>
      </w:r>
    </w:p>
    <w:p>
      <w:r>
        <w:t>Konsolidierte Gesellschaften zum 31.3.2021 (alle 100 % Tochter): REG Heilbronn (820 MA), RSG Muenchen (340 MA), RPL Katowice (960 MA), RCZ Brno (680 MA), RHU Gyoer (540 MA), RCN Shanghai (320 MA), RHO Stuttgart (45 MA). Konzernspitze: Brennhagen Elektronik AG (im Formwechsel seit 10.2.2021, vorher GmbH).</w:t>
      </w:r>
    </w:p>
    <w:p>
      <w:pPr>
        <w:pStyle w:val="Heading3"/>
      </w:pPr>
      <w:r>
        <w:t>Compliance-Status</w:t>
      </w:r>
    </w:p>
    <w:p>
      <w:r>
        <w:t>Wesentliche Compliance-Themen Q1: (a) keine SAR-relevanten Vorfaelle (Suspicious Activity Reports); (b) 2 Hinweise via SPEAK-UP@Brennhagen (beide unbegruendet); (c) Antikorruptionsschulung Q1 abgeschlossen (96 % der Belegschaft); (d) Sanktionspruefung erweitert um Ukraine/Russland (in Vorbereitung).</w:t>
      </w:r>
    </w:p>
    <w:p>
      <w:pPr>
        <w:pStyle w:val="Heading3"/>
      </w:pPr>
      <w:r>
        <w:t>Wesentliche Risiken</w:t>
      </w:r>
    </w:p>
    <w:p>
      <w:pPr>
        <w:pStyle w:val="ListBullet"/>
      </w:pPr>
      <w:r>
        <w:t>Halbleiter-Lieferengpaesse (TSMC/NXP): Risikobewertung HOCH; Mitigation in Aufbau (Zweitquellen-Strategie).</w:t>
      </w:r>
    </w:p>
    <w:p>
      <w:pPr>
        <w:pStyle w:val="ListBullet"/>
      </w:pPr>
      <w:r>
        <w:t>OEM-Programmrisiken: Risiko mittel; Diversifikation 8 OEM-Kunden gut.</w:t>
      </w:r>
    </w:p>
    <w:p>
      <w:pPr>
        <w:pStyle w:val="ListBullet"/>
      </w:pPr>
      <w:r>
        <w:t>Cybersecurity: Risiko erhoeht (laut BSI-Lagebericht); ISMS-Programm in Umsetzung.</w:t>
      </w:r>
    </w:p>
    <w:p>
      <w:pPr>
        <w:pStyle w:val="ListBullet"/>
      </w:pPr>
      <w:r>
        <w:t>FX-Volatilitaet: Risiko mittel; Hedging-Programm aktiv (siehe FX-Hedge-Berichte).</w:t>
      </w:r>
    </w:p>
    <w:p>
      <w:pPr>
        <w:pStyle w:val="Heading3"/>
      </w:pPr>
      <w:r>
        <w:t>Personalentwicklung Vorstand</w:t>
      </w:r>
    </w:p>
    <w:p>
      <w:r>
        <w:t>Vorstand komplett besetzt (4 Mitglieder: Mueller, Bauer, Weber, Hoffmann). Erster Aufsichtsrat im Anschluss an Formwechsel im Februar 2021 bestellt (5 Mitglieder).</w:t>
      </w:r>
    </w:p>
    <w:p>
      <w:pPr>
        <w:pStyle w:val="Heading3"/>
      </w:pPr>
      <w:r>
        <w:t>Anstehend Q2/2021</w:t>
      </w:r>
    </w:p>
    <w:p>
      <w:r>
        <w:t>BMW ICP-3 Vertragsverhandlungen (Volumen 850 Mio. EUR; Abschluss erwartet Mai 2021); Werkserweiterung Katowice (Beschlussfassung Aufsichtsrat geplant); Aufbau Compliance- und Risikoausschuss in der konstituierenden Sitzung.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