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Bankkorrespondenz UniCredit Bank AG (HypoVereinsbank) – Jahresgespraech 2022</w:t>
      </w:r>
    </w:p>
    <w:p>
      <w:pPr>
        <w:jc w:val="center"/>
      </w:pPr>
      <w:r>
        <w:t>Beziehungsbericht der Treasury-Funktion, Stand 2022</w:t>
      </w:r>
    </w:p>
    <w:p/>
    <w:p>
      <w:pPr>
        <w:pStyle w:val="Heading3"/>
      </w:pPr>
      <w:r>
        <w:t>Korrespondenzpartner</w:t>
      </w:r>
    </w:p>
    <w:p>
      <w:r>
        <w:t>Bank: UniCredit Bank AG (HypoVereinsbank)</w:t>
        <w:br/>
        <w:t>Arabellastrasse 12, 81925 Muenchen</w:t>
      </w:r>
    </w:p>
    <w:p>
      <w:r>
        <w:t>Senior Relationship Manager: Marcus Reinhold</w:t>
      </w:r>
    </w:p>
    <w:p>
      <w:r>
        <w:t>Brennhagen-Verantwortliche: Laura Bauer (CFO), Markus Pflanzer (Group Treasurer)</w:t>
      </w:r>
    </w:p>
    <w:p>
      <w:pPr>
        <w:pStyle w:val="Heading3"/>
      </w:pPr>
      <w:r>
        <w:t>Bankenbeziehung im Ueberblick</w:t>
      </w:r>
    </w:p>
    <w:p>
      <w:r>
        <w:t>Die UniCredit-Beziehung der Brennhagen Elektronik AG besteht seit 2014 als Teil der Kernbankenstruktur (5 Hausbanken: Deutsche Bank, Commerzbank, UniCredit, BNP Paribas, HSBC). Im Berichtsjahr 2022 wurde der bestehende Kreditrahmen von 180 Mio. EUR mit Auslastung 30 % gefuehrt. Die Bank ist zudem Konsortialteilnehmerin im Konsortialkreditvertrag 2022 (siehe REA_Konsortialkredit_Rahmenvertrag_2022).</w:t>
      </w:r>
    </w:p>
    <w:p>
      <w:r>
        <w:t>Die Bank uebernimmt operativ: Kontokorrentlinie, Avalrahmen fuer Exportbuergschaften, FX-Hedging in CNY/CZK/HUF/PLN, Trade-Finance fuer Auftraege &gt; 5 Mio. EUR.</w:t>
      </w:r>
    </w:p>
    <w:p>
      <w:pPr>
        <w:pStyle w:val="Heading3"/>
      </w:pPr>
      <w:r>
        <w:t>Themen des Jahresgespraechs 2022</w:t>
      </w:r>
    </w:p>
    <w:p>
      <w:pPr>
        <w:pStyle w:val="ListBullet"/>
      </w:pPr>
      <w:r>
        <w:t>Konsortialkredit-Beteiligung Tranche B (35 Mio. EUR)</w:t>
      </w:r>
    </w:p>
    <w:p>
      <w:pPr>
        <w:pStyle w:val="ListBullet"/>
      </w:pPr>
      <w:r>
        <w:t>Italien-Geschaeft (Stellantis Mirafiori) – Trade-Finance via Mailand-Filiale</w:t>
      </w:r>
    </w:p>
    <w:p>
      <w:pPr>
        <w:pStyle w:val="ListBullet"/>
      </w:pPr>
      <w:r>
        <w:t>Hedging-Plattform EUR/USD (Mexiko-Exporte) und EUR/PLN (Werk Katowice)</w:t>
      </w:r>
    </w:p>
    <w:p>
      <w:pPr>
        <w:pStyle w:val="ListBullet"/>
      </w:pPr>
      <w:r>
        <w:t>Equity-Beteiligungspruefung an Brennhagen Polska – nicht weiterverfolgt</w:t>
      </w:r>
    </w:p>
    <w:p>
      <w:pPr>
        <w:pStyle w:val="ListBullet"/>
      </w:pPr>
      <w:r>
        <w:t>ESG-Beratung CSRD-Vorbereitung (in Kooperation mit UniCredit Sustainable Finance)</w:t>
      </w:r>
    </w:p>
    <w:p>
      <w:pPr>
        <w:pStyle w:val="Heading3"/>
      </w:pPr>
      <w:r>
        <w:t>Vereinbarte Konditionen / Updates</w:t>
      </w:r>
    </w:p>
    <w:p>
      <w:r>
        <w:t>Konditionen werden jaehrlich im Februar/Maerz aktualisiert. Aktuelle Margen ueber EURIBOR 6M: +95 bp (Konsortialkredit), +75 bp (bilaterale Linien). Avalprovision unveraendert 0,8 % p. a. auf in Anspruch genommene Avale. Reporting-Standards gemaess Konsortialkreditvertrag (Quarterly Compliance Certificate + Annual Report binnen 120 Tagen).</w:t>
      </w:r>
    </w:p>
    <w:p>
      <w:pPr>
        <w:pStyle w:val="Heading3"/>
      </w:pPr>
      <w:r>
        <w:t>Naechste Schritte</w:t>
      </w:r>
    </w:p>
    <w:p>
      <w:r>
        <w:t>Naechstes Jahresgespraech: Februar/Maerz 2023. Halbjaehrliches Strategie-Update durch den Group Treasurer im H1. Aktuelle Themen-Pipeline: Pruefung Schuldscheindarlehen (150 Mio. EUR) Q2/2023, Refinanzierung Konsortialkredit zum Ablauftermin 2027.</w:t>
      </w:r>
    </w:p>
    <w:p>
      <w:pPr>
        <w:pStyle w:val="Heading3"/>
      </w:pPr>
      <w:r>
        <w:t>Unterschrift</w:t>
      </w:r>
    </w:p>
    <w:p>
      <w:r>
        <w:t>Ort, Datum: Stuttgart, den 15. Februar 2022</w:t>
      </w:r>
    </w:p>
    <w:p>
      <w:r>
        <w:t>_________________________            _________________________</w:t>
        <w:br/>
        <w:t>Laura Bauer                          Marcus Reinhold</w:t>
        <w:br/>
        <w:t>CFO                          Senior Relationship Manager</w:t>
        <w:br/>
        <w:t>Brennhagen Elektronik AG                       UniCredit Bank AG (HypoVereinsbank)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