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Volkswagen AG – Liefervertrag ECU-900 Gen3 (2023)</w:t>
      </w:r>
    </w:p>
    <w:p>
      <w:pPr>
        <w:jc w:val="center"/>
      </w:pPr>
      <w:r>
        <w:t>Rahmen-Liefervertrag fuer Powertrain-Steuergeraete (ECU)</w:t>
      </w:r>
    </w:p>
    <w:p/>
    <w:p>
      <w:pPr>
        <w:pStyle w:val="Heading3"/>
      </w:pPr>
      <w:r>
        <w:t>Vertragsparteien</w:t>
      </w:r>
    </w:p>
    <w:p>
      <w:r>
        <w:t>Auftraggeber: Volkswagen AG, Berliner Ring 2, 38440 Wolfsburg, vertreten durch das Einkaufsressort Elektronik (Bevollmaechtigte: Frau Stefanie Krug, Senior Buyer Electronics).</w:t>
      </w:r>
    </w:p>
    <w:p>
      <w:r>
        <w:t>Auftragnehmerin: Brennhagen Elektronik AG (mit Lieferungen durch REG Heilbronn).</w:t>
      </w:r>
    </w:p>
    <w:p>
      <w:pPr>
        <w:pStyle w:val="Heading3"/>
      </w:pPr>
      <w:r>
        <w:t>Vertragsgegenstand</w:t>
      </w:r>
    </w:p>
    <w:p>
      <w:r>
        <w:t>Lieferung von Powertrain-Steuergeraeten (ECU-900 Gen3) fuer die VW-Plattformen MEB+ (Modular Electric Toolkit Erweitert) und MQB-Evo (Modular Quer Baukasten Evolution). Volumen-Forecast: 1,8 Mio. ECU-Einheiten p. a. ueber 5 Jahre.</w:t>
      </w:r>
    </w:p>
    <w:p>
      <w:pPr>
        <w:pStyle w:val="Heading3"/>
      </w:pPr>
      <w:r>
        <w:t>Konditionen</w:t>
      </w:r>
    </w:p>
    <w:p>
      <w:pPr>
        <w:pStyle w:val="Heading4"/>
      </w:pPr>
      <w:r>
        <w:t>§ 1 Volumen / Forecast</w:t>
      </w:r>
    </w:p>
    <w:p>
      <w:r>
        <w:rPr>
          <w:b/>
        </w:rPr>
        <w:t xml:space="preserve">(1) </w:t>
      </w:r>
      <w:r>
        <w:t>Volumen-Forecast: 1,4 Mio. (2024); 1,6 Mio. (2025); 1,8 Mio. (2026-2028).</w:t>
      </w:r>
    </w:p>
    <w:p>
      <w:r>
        <w:rPr>
          <w:b/>
        </w:rPr>
        <w:t xml:space="preserve">(2) </w:t>
      </w:r>
      <w:r>
        <w:t>Vorlaufzeit 16 Wochen; rollierender 12-Monats-Forecast (Fix-Zone 8 Wochen; Tradezone 9-24 Wochen).</w:t>
      </w:r>
    </w:p>
    <w:p>
      <w:pPr>
        <w:pStyle w:val="Heading4"/>
      </w:pPr>
      <w:r>
        <w:t>§ 2 Preise</w:t>
      </w:r>
    </w:p>
    <w:p>
      <w:r>
        <w:rPr>
          <w:b/>
        </w:rPr>
        <w:t xml:space="preserve">(1) </w:t>
      </w:r>
      <w:r>
        <w:t>Stueckpreis 84,50 EUR (Standardausfuehrung); Volumenrabatte ueber 1,5 Mio. -2 %, ueber 1,8 Mio. -3,5 %.</w:t>
      </w:r>
    </w:p>
    <w:p>
      <w:r>
        <w:rPr>
          <w:b/>
        </w:rPr>
        <w:t xml:space="preserve">(2) </w:t>
      </w:r>
      <w:r>
        <w:t>Preisindex-Klausel: Halbleiter-Komponenten (NXP/STM/Infineon) &gt;+10 % Preisanstieg loest Preisanpassung aus (max. 4 % p. a.).</w:t>
      </w:r>
    </w:p>
    <w:p>
      <w:pPr>
        <w:pStyle w:val="Heading4"/>
      </w:pPr>
      <w:r>
        <w:t>§ 3 Lieferbedingungen</w:t>
      </w:r>
    </w:p>
    <w:p>
      <w:r>
        <w:rPr>
          <w:b/>
        </w:rPr>
        <w:t xml:space="preserve">(1) </w:t>
      </w:r>
      <w:r>
        <w:t>Incoterm 2020: DAP-Wolfsburg (frei verbaut Werk Wolfsburg);</w:t>
      </w:r>
    </w:p>
    <w:p>
      <w:r>
        <w:rPr>
          <w:b/>
        </w:rPr>
        <w:t xml:space="preserve">(2) </w:t>
      </w:r>
      <w:r>
        <w:t>Zahlungsbedingung: 60 Tage netto;</w:t>
      </w:r>
    </w:p>
    <w:p>
      <w:r>
        <w:rPr>
          <w:b/>
        </w:rPr>
        <w:t xml:space="preserve">(3) </w:t>
      </w:r>
      <w:r>
        <w:t>Liefergrad-KPI: &gt;= 99,5 % On-Time-Delivery (Vertragsstrafe 5 EUR/Std. Verspaetung ab P1-Linienstillstand).</w:t>
      </w:r>
    </w:p>
    <w:p>
      <w:pPr>
        <w:pStyle w:val="Heading4"/>
      </w:pPr>
      <w:r>
        <w:t>§ 4 Qualitaet</w:t>
      </w:r>
    </w:p>
    <w:p>
      <w:r>
        <w:rPr>
          <w:b/>
        </w:rPr>
        <w:t xml:space="preserve">(1) </w:t>
      </w:r>
      <w:r>
        <w:t>Reklamationsquote (ppm) &lt;= 25 ppm; bei Ueberschreitung Eskalationsstufen-Prozess.</w:t>
      </w:r>
    </w:p>
    <w:p>
      <w:r>
        <w:rPr>
          <w:b/>
        </w:rPr>
        <w:t xml:space="preserve">(2) </w:t>
      </w:r>
      <w:r>
        <w:t>8D-Bericht binnen 7 Werktagen bei P1-Faellen.</w:t>
      </w:r>
    </w:p>
    <w:p>
      <w:r>
        <w:rPr>
          <w:b/>
        </w:rPr>
        <w:t xml:space="preserve">(3) </w:t>
      </w:r>
      <w:r>
        <w:t>Re-Audit bei systematischen Q-Maengeln binnen 14 Tagen.</w:t>
      </w:r>
    </w:p>
    <w:p>
      <w:pPr>
        <w:pStyle w:val="Heading4"/>
      </w:pPr>
      <w:r>
        <w:t>§ 5 Gewaehrleistung / Haftung</w:t>
      </w:r>
    </w:p>
    <w:p>
      <w:r>
        <w:rPr>
          <w:b/>
        </w:rPr>
        <w:t xml:space="preserve">(1) </w:t>
      </w:r>
      <w:r>
        <w:t>Gewaehrleistungszeit 24 Monate ab Verbau; max. 36 Monate ab Lieferung;</w:t>
      </w:r>
    </w:p>
    <w:p>
      <w:r>
        <w:rPr>
          <w:b/>
        </w:rPr>
        <w:t xml:space="preserve">(2) </w:t>
      </w:r>
      <w:r>
        <w:t>Haftungshoechstgrenze 100 % des Vertragsvolumens p. a. (ausgenommen Vorsatz / Personenschaeden / Produkthaftung).</w:t>
      </w:r>
    </w:p>
    <w:p>
      <w:pPr>
        <w:pStyle w:val="Heading4"/>
      </w:pPr>
      <w:r>
        <w:t>§ 6 Vertraulichkeit / IP</w:t>
      </w:r>
    </w:p>
    <w:p>
      <w:r>
        <w:rPr>
          <w:b/>
        </w:rPr>
        <w:t xml:space="preserve">(1) </w:t>
      </w:r>
      <w:r>
        <w:t>Strenge Geheimhaltung VW-spezifischer Konstruktions- und Software-Daten; Schutz IP Brennhagen bleibt unberuehrt; Cross-Licensing nur fuer Reverse-Engineering Erweiterungen.</w:t>
      </w:r>
    </w:p>
    <w:p>
      <w:pPr>
        <w:pStyle w:val="Heading4"/>
      </w:pPr>
      <w:r>
        <w:t>§ 7 Laufzeit / Kuendigung</w:t>
      </w:r>
    </w:p>
    <w:p>
      <w:r>
        <w:rPr>
          <w:b/>
        </w:rPr>
        <w:t xml:space="preserve">(1) </w:t>
      </w:r>
      <w:r>
        <w:t>Laufzeit 5 Jahre ab 1. Januar 2024 (bis 31.12.2028); Verlaengerung um 2 Jahre auf Antrag.</w:t>
      </w:r>
    </w:p>
    <w:p>
      <w:r>
        <w:rPr>
          <w:b/>
        </w:rPr>
        <w:t xml:space="preserve">(2) </w:t>
      </w:r>
      <w:r>
        <w:t>Ordentliche Kuendigung mit 12 Monaten Vorlauf zum Ende des Geschaeftsjahres.</w:t>
      </w:r>
    </w:p>
    <w:p>
      <w:pPr>
        <w:pStyle w:val="Heading3"/>
      </w:pPr>
      <w:r>
        <w:t>Anlagen</w:t>
      </w:r>
    </w:p>
    <w:p>
      <w:r>
        <w:t>Anlage 1: Technische Spezifikation ECU-900 Gen3.</w:t>
        <w:br/>
        <w:t>Anlage 2: Preisliste mit Volumenstaffel.</w:t>
        <w:br/>
        <w:t>Anlage 3: Forecast-Procedure und EDI-Schnittstelle.</w:t>
        <w:br/>
        <w:t>Anlage 4: VDA-6.3-Audit-Anforderungen.</w:t>
      </w:r>
    </w:p>
    <w:p>
      <w:pPr>
        <w:pStyle w:val="Heading3"/>
      </w:pPr>
      <w:r>
        <w:t>Unterschriften</w:t>
      </w:r>
    </w:p>
    <w:p>
      <w:r>
        <w:t>Ort, Datum: Stuttgart / Wolfsburg, den 22. November 2023</w:t>
      </w:r>
    </w:p>
    <w:p>
      <w:r>
        <w:t>_________________________            _________________________</w:t>
        <w:br/>
        <w:t>Stefan Richter                          Stefanie Krug</w:t>
        <w:br/>
        <w:t>Vorstand M&amp;A/BD                          Senior Buyer Electronics</w:t>
        <w:br/>
        <w:t>Brennhagen Elektronik AG                       Volkswagen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