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Transfer Pricing Local File RCN – 2023</w:t>
      </w:r>
    </w:p>
    <w:p>
      <w:pPr>
        <w:jc w:val="center"/>
      </w:pPr>
      <w:r>
        <w:t>Verrechnungspreisdokumentation gemaess OECD VPL / lokales Steuerrecht</w:t>
      </w:r>
    </w:p>
    <w:p/>
    <w:p>
      <w:pPr>
        <w:pStyle w:val="Heading3"/>
      </w:pPr>
      <w:r>
        <w:t>Berichtsgegenstand</w:t>
      </w:r>
    </w:p>
    <w:p>
      <w:r>
        <w:t>Local File fuer die Brennhagen (Shanghai) Co. Ltd. (Sitz: Shanghai, China) fuer das Geschaeftsjahr 2023. Dokumentationspflicht gemaess OECD Verrechnungspreisleitlinien 2022 (VPL) und lokalem Steuerrecht. Master File auf Konzernebene wird separat durch die Konzern-Steuerabteilung (Group Tax Director Frau Dr. Heike Berger) erstellt und ueber das KPMG-Mandant-Portal abgelegt.</w:t>
      </w:r>
    </w:p>
    <w:p>
      <w:pPr>
        <w:pStyle w:val="Heading3"/>
      </w:pPr>
      <w:r>
        <w:t>Gesellschaftsprofil</w:t>
      </w:r>
    </w:p>
    <w:p>
      <w:r>
        <w:t>Funktion und Risikoprofil: Limited-Risk-Distributor / Service-Gesellschaft; keine eigene Produktion; Marge 3-4 % auf Aftermarket-Verkaufspreis (Berlin Method: Resale-minus). Lokale Steuerverguenstigungen (Foreign-Invested Enterprise FIE) bis 2025.</w:t>
      </w:r>
    </w:p>
    <w:p>
      <w:r>
        <w:t>Hauptprodukte / Wertschoepfung: Asien-Vertriebsgesellschaft mit Aftermarket-Geschaeft und Service-Support fuer OEM-Werke China (Mercedes Beijing, Stellantis Wuhan, BMW Brilliance Shenyang).</w:t>
      </w:r>
    </w:p>
    <w:p>
      <w:r>
        <w:t>Umsatz 2023: 42 Mio. EUR (davon Intercompany 32 Mio. EUR). Mitarbeitende: 320. Eigentumsverhaeltnis: 100 % Tochter der Brennhagen Holding GmbH (RHO Stuttgart).</w:t>
      </w:r>
    </w:p>
    <w:p>
      <w:pPr>
        <w:pStyle w:val="Heading3"/>
      </w:pPr>
      <w:r>
        <w:t>Wesentliche Intercompany-Transaktionen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Transaktion</w:t>
            </w:r>
          </w:p>
        </w:tc>
        <w:tc>
          <w:tcPr>
            <w:tcW w:type="dxa" w:w="2160"/>
          </w:tcPr>
          <w:p>
            <w:r>
              <w:t>Vertragspartner</w:t>
            </w:r>
          </w:p>
        </w:tc>
        <w:tc>
          <w:tcPr>
            <w:tcW w:type="dxa" w:w="2160"/>
          </w:tcPr>
          <w:p>
            <w:r>
              <w:t>Volumen Mio. EUR</w:t>
            </w:r>
          </w:p>
        </w:tc>
        <w:tc>
          <w:tcPr>
            <w:tcW w:type="dxa" w:w="2160"/>
          </w:tcPr>
          <w:p>
            <w:r>
              <w:t>Verrechnungspreis-Methode</w:t>
            </w:r>
          </w:p>
        </w:tc>
      </w:tr>
      <w:tr>
        <w:tc>
          <w:tcPr>
            <w:tcW w:type="dxa" w:w="2160"/>
          </w:tcPr>
          <w:p>
            <w:r>
              <w:t>Lieferung Halbfertigerzeugnisse / Komponenten</w:t>
            </w:r>
          </w:p>
        </w:tc>
        <w:tc>
          <w:tcPr>
            <w:tcW w:type="dxa" w:w="2160"/>
          </w:tcPr>
          <w:p>
            <w:r>
              <w:t>REG Heilbronn</w:t>
            </w:r>
          </w:p>
        </w:tc>
        <w:tc>
          <w:tcPr>
            <w:tcW w:type="dxa" w:w="2160"/>
          </w:tcPr>
          <w:p>
            <w:r>
              <w:t>13.4</w:t>
            </w:r>
          </w:p>
        </w:tc>
        <w:tc>
          <w:tcPr>
            <w:tcW w:type="dxa" w:w="2160"/>
          </w:tcPr>
          <w:p>
            <w:r>
              <w:t>Cost+ (5-7 %)</w:t>
            </w:r>
          </w:p>
        </w:tc>
      </w:tr>
      <w:tr>
        <w:tc>
          <w:tcPr>
            <w:tcW w:type="dxa" w:w="2160"/>
          </w:tcPr>
          <w:p>
            <w:r>
              <w:t>Engineering-/Service-Leistungen</w:t>
            </w:r>
          </w:p>
        </w:tc>
        <w:tc>
          <w:tcPr>
            <w:tcW w:type="dxa" w:w="2160"/>
          </w:tcPr>
          <w:p>
            <w:r>
              <w:t>REA Stuttgart (Holding)</w:t>
            </w:r>
          </w:p>
        </w:tc>
        <w:tc>
          <w:tcPr>
            <w:tcW w:type="dxa" w:w="2160"/>
          </w:tcPr>
          <w:p>
            <w:r>
              <w:t>5.8</w:t>
            </w:r>
          </w:p>
        </w:tc>
        <w:tc>
          <w:tcPr>
            <w:tcW w:type="dxa" w:w="2160"/>
          </w:tcPr>
          <w:p>
            <w:r>
              <w:t>Cost+ (8-10 %)</w:t>
            </w:r>
          </w:p>
        </w:tc>
      </w:tr>
      <w:tr>
        <w:tc>
          <w:tcPr>
            <w:tcW w:type="dxa" w:w="2160"/>
          </w:tcPr>
          <w:p>
            <w:r>
              <w:t>Lizenzgebuehren Patente / Software</w:t>
            </w:r>
          </w:p>
        </w:tc>
        <w:tc>
          <w:tcPr>
            <w:tcW w:type="dxa" w:w="2160"/>
          </w:tcPr>
          <w:p>
            <w:r>
              <w:t>REA Stuttgart</w:t>
            </w:r>
          </w:p>
        </w:tc>
        <w:tc>
          <w:tcPr>
            <w:tcW w:type="dxa" w:w="2160"/>
          </w:tcPr>
          <w:p>
            <w:r>
              <w:t>3.8</w:t>
            </w:r>
          </w:p>
        </w:tc>
        <w:tc>
          <w:tcPr>
            <w:tcW w:type="dxa" w:w="2160"/>
          </w:tcPr>
          <w:p>
            <w:r>
              <w:t>CUP (3,5-4,2 %)</w:t>
            </w:r>
          </w:p>
        </w:tc>
      </w:tr>
      <w:tr>
        <w:tc>
          <w:tcPr>
            <w:tcW w:type="dxa" w:w="2160"/>
          </w:tcPr>
          <w:p>
            <w:r>
              <w:t>Konzernumlagen (Shared Services)</w:t>
            </w:r>
          </w:p>
        </w:tc>
        <w:tc>
          <w:tcPr>
            <w:tcW w:type="dxa" w:w="2160"/>
          </w:tcPr>
          <w:p>
            <w:r>
              <w:t>RHO Stuttgart</w:t>
            </w:r>
          </w:p>
        </w:tc>
        <w:tc>
          <w:tcPr>
            <w:tcW w:type="dxa" w:w="2160"/>
          </w:tcPr>
          <w:p>
            <w:r>
              <w:t>2.6</w:t>
            </w:r>
          </w:p>
        </w:tc>
        <w:tc>
          <w:tcPr>
            <w:tcW w:type="dxa" w:w="2160"/>
          </w:tcPr>
          <w:p>
            <w:r>
              <w:t>Kostenumlage</w:t>
            </w:r>
          </w:p>
        </w:tc>
      </w:tr>
      <w:tr>
        <w:tc>
          <w:tcPr>
            <w:tcW w:type="dxa" w:w="2160"/>
          </w:tcPr>
          <w:p>
            <w:r>
              <w:t>Cash-Pool / Intercompany-Darlehen</w:t>
            </w:r>
          </w:p>
        </w:tc>
        <w:tc>
          <w:tcPr>
            <w:tcW w:type="dxa" w:w="2160"/>
          </w:tcPr>
          <w:p>
            <w:r>
              <w:t>REA Treasury</w:t>
            </w:r>
          </w:p>
        </w:tc>
        <w:tc>
          <w:tcPr>
            <w:tcW w:type="dxa" w:w="2160"/>
          </w:tcPr>
          <w:p>
            <w:r>
              <w:t>6.4</w:t>
            </w:r>
          </w:p>
        </w:tc>
        <w:tc>
          <w:tcPr>
            <w:tcW w:type="dxa" w:w="2160"/>
          </w:tcPr>
          <w:p>
            <w:r>
              <w:t>Marktueblicher Zins</w:t>
            </w:r>
          </w:p>
        </w:tc>
      </w:tr>
    </w:tbl>
    <w:p>
      <w:pPr>
        <w:pStyle w:val="Heading3"/>
      </w:pPr>
      <w:r>
        <w:t>Funktions- und Risikoanalyse</w:t>
      </w:r>
    </w:p>
    <w:p>
      <w:r>
        <w:t>Die Gesellschaft erfuellt die Funktion eines Routine-Producer mit begrenztem Routine-Risiko: Produktion, Qualitaetspruefung, Logistik. Strategische Funktionen (F&amp;E, Produktentwicklung, Markt-Strategie) sind bei der Konzernmutter REA Stuttgart angesiedelt. Risiken: Auslastungsrisiko (Produktion), Vorratsrisiko (Material), Wechselkursrisiko (durch Konzern-Treasury abgesichert). Marketing- und FX-Risiken sind beim Konzernsitz konzentriert.</w:t>
      </w:r>
    </w:p>
    <w:p>
      <w:pPr>
        <w:pStyle w:val="Heading3"/>
      </w:pPr>
      <w:r>
        <w:t>Verrechnungspreis-Methodik</w:t>
      </w:r>
    </w:p>
    <w:p>
      <w:r>
        <w:t>Cost+ Methode mit Routine-Margen von 5-7 % auf Vollkosten (Benchmark: TP-Analyse durch PwC AG WPG 2022, Quartil 25-75 %); CUP fuer Lizenzgebuehren (Marktpreis aus vergleichbaren Lizenztransaktionen); Konzernumlagen nach BO-Schluessel (Headcount + Umsatz); marktueblicher Zins fuer Intercompany-Darlehen (EURIBOR + 150-250 bp je nach Bonitaet).</w:t>
      </w:r>
    </w:p>
    <w:p>
      <w:pPr>
        <w:pStyle w:val="Heading3"/>
      </w:pPr>
      <w:r>
        <w:t>Compliance-Status / Pruefungen</w:t>
      </w:r>
    </w:p>
    <w:p>
      <w:r>
        <w:t>Local File wurde durch lokale Steuerberater geprueft (KPMG China) und der lokalen Steuerbehoerde auf Anforderung verfuegbar. Letzte Betriebspruefung der lokalen Behoerde: 2021. Keine wesentlichen Beanstandungen. Country-by-Country-Reporting (CbCR) erfolgt jaehrlich durch Konzernsteuerabteilung (Master File-Verantwortlich).</w:t>
      </w:r>
    </w:p>
    <w:p>
      <w:pPr>
        <w:pStyle w:val="Heading3"/>
      </w:pPr>
      <w:r>
        <w:t>Unterschriften</w:t>
      </w:r>
    </w:p>
    <w:p>
      <w:r>
        <w:t>Ort, Datum: Stuttgart, den 30. November 2023</w:t>
      </w:r>
    </w:p>
    <w:p>
      <w:r>
        <w:t>_________________________            _________________________</w:t>
        <w:br/>
        <w:t>Florian Maier                          Dr. Heike Berger</w:t>
        <w:br/>
        <w:t>Group Controller                          Group Tax Director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