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Pruefbericht Funktionstest EOL – ADAS-V4D Radar Fusion (PRJ-2023-001)</w:t>
      </w:r>
    </w:p>
    <w:p>
      <w:pPr>
        <w:jc w:val="center"/>
      </w:pPr>
      <w:r>
        <w:t>Endpruefung der Serienproduktion Werk Heilbronn; Test-Lot W14-2023</w:t>
      </w:r>
    </w:p>
    <w:p/>
    <w:p>
      <w:pPr>
        <w:pStyle w:val="Heading3"/>
      </w:pPr>
      <w:r>
        <w:t>Projekt-Kontext</w:t>
      </w:r>
    </w:p>
    <w:p>
      <w:r>
        <w:t>Projekt PRJ-2023-001 betrifft die Plattform ADAS-V4D (Radar Fusion Steuergeraet, Level-2/3 ADAS) der Brennhagen Elektronik GmbH Werk Heilbronn. Hauptkunden: Mercedes-Benz Group AG (MBSP-Programm GLA/GLB) und Stellantis N.V. (DS-Modell-Reihe). Plattform-SOP 03/2022; aktueller Revisionsstand des Produkts 4.2 (Mod-Index 14.2.2023). Testbericht erstellt fuer Test-Lot W14-2023 (KW 14, 3.4. – 9.4.2023; Losgroesse 4.820 Stueck).</w:t>
      </w:r>
    </w:p>
    <w:p>
      <w:pPr>
        <w:pStyle w:val="Heading3"/>
      </w:pPr>
      <w:r>
        <w:t>Pruefumfang</w:t>
      </w:r>
    </w:p>
    <w:p>
      <w:r>
        <w:t>Endpruefung End-of-Line (EOL) gemaess Control Plan REG_ControlPlan_ADAS-V4D_2023 (Revisionsstand 4.2). Pruefungen umfassen: (a) Flying-Probe ICT (Takaya APT-1400F); (b) FCT-EOL inkl. CAN/FlexRay/Ethernet-Diagnose; (c) EMV-Vorpruefung gemaess CISPR 25 Klasse 5 (Stichprobe 1:200); (d) Verguss-Dichtheit IP67 (Helium-Lecksuche); (e) Burn-In 168h @ 85 °C / 95 % rF (Stichprobe 1:500 fuer Mercedes-Auslieferung).</w:t>
      </w:r>
    </w:p>
    <w:p>
      <w:pPr>
        <w:pStyle w:val="Heading3"/>
      </w:pPr>
      <w:r>
        <w:t>Testergebnis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Prueftest</w:t>
            </w:r>
          </w:p>
        </w:tc>
        <w:tc>
          <w:tcPr>
            <w:tcW w:type="dxa" w:w="2160"/>
          </w:tcPr>
          <w:p>
            <w:r>
              <w:t>Pruefnorm / Anforderung</w:t>
            </w:r>
          </w:p>
        </w:tc>
        <w:tc>
          <w:tcPr>
            <w:tcW w:type="dxa" w:w="2160"/>
          </w:tcPr>
          <w:p>
            <w:r>
              <w:t>Ergebnis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Flying-Probe ICT</w:t>
            </w:r>
          </w:p>
        </w:tc>
        <w:tc>
          <w:tcPr>
            <w:tcW w:type="dxa" w:w="2160"/>
          </w:tcPr>
          <w:p>
            <w:r>
              <w:t>100 % Komponenten OK</w:t>
            </w:r>
          </w:p>
        </w:tc>
        <w:tc>
          <w:tcPr>
            <w:tcW w:type="dxa" w:w="2160"/>
          </w:tcPr>
          <w:p>
            <w:r>
              <w:t>100 %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FCT-EOL CAN/FlexRay</w:t>
            </w:r>
          </w:p>
        </w:tc>
        <w:tc>
          <w:tcPr>
            <w:tcW w:type="dxa" w:w="2160"/>
          </w:tcPr>
          <w:p>
            <w:r>
              <w:t>0 DTC, Diagnostic Profile P2.0</w:t>
            </w:r>
          </w:p>
        </w:tc>
        <w:tc>
          <w:tcPr>
            <w:tcW w:type="dxa" w:w="2160"/>
          </w:tcPr>
          <w:p>
            <w:r>
              <w:t>0 DTC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Ethernet-Konnektivitaet 100BASE-T1</w:t>
            </w:r>
          </w:p>
        </w:tc>
        <w:tc>
          <w:tcPr>
            <w:tcW w:type="dxa" w:w="2160"/>
          </w:tcPr>
          <w:p>
            <w:r>
              <w:t>Link-Up &lt; 200 ms</w:t>
            </w:r>
          </w:p>
        </w:tc>
        <w:tc>
          <w:tcPr>
            <w:tcW w:type="dxa" w:w="2160"/>
          </w:tcPr>
          <w:p>
            <w:r>
              <w:t>142 ms (Mittel)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EMV-Vorpruefung Stoerstrahlung</w:t>
            </w:r>
          </w:p>
        </w:tc>
        <w:tc>
          <w:tcPr>
            <w:tcW w:type="dxa" w:w="2160"/>
          </w:tcPr>
          <w:p>
            <w:r>
              <w:t>CISPR 25 Kap. 8 Klasse 5</w:t>
            </w:r>
          </w:p>
        </w:tc>
        <w:tc>
          <w:tcPr>
            <w:tcW w:type="dxa" w:w="2160"/>
          </w:tcPr>
          <w:p>
            <w:r>
              <w:t>alle Frequenzen i.O.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EMV-Vorpruefung Stoerfestigkeit</w:t>
            </w:r>
          </w:p>
        </w:tc>
        <w:tc>
          <w:tcPr>
            <w:tcW w:type="dxa" w:w="2160"/>
          </w:tcPr>
          <w:p>
            <w:r>
              <w:t>ISO 11452-2/4</w:t>
            </w:r>
          </w:p>
        </w:tc>
        <w:tc>
          <w:tcPr>
            <w:tcW w:type="dxa" w:w="2160"/>
          </w:tcPr>
          <w:p>
            <w:r>
              <w:t>alle Frequenzen i.O.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Verguss-Dichtheit</w:t>
            </w:r>
          </w:p>
        </w:tc>
        <w:tc>
          <w:tcPr>
            <w:tcW w:type="dxa" w:w="2160"/>
          </w:tcPr>
          <w:p>
            <w:r>
              <w:t>IP67 (Helium &lt; 1e-6 mbar*l/s)</w:t>
            </w:r>
          </w:p>
        </w:tc>
        <w:tc>
          <w:tcPr>
            <w:tcW w:type="dxa" w:w="2160"/>
          </w:tcPr>
          <w:p>
            <w:r>
              <w:t>1,2e-7 mbar*l/s (Mittel)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Burn-In 168h @ 85 °C</w:t>
            </w:r>
          </w:p>
        </w:tc>
        <w:tc>
          <w:tcPr>
            <w:tcW w:type="dxa" w:w="2160"/>
          </w:tcPr>
          <w:p>
            <w:r>
              <w:t>kein Funktions-Drift</w:t>
            </w:r>
          </w:p>
        </w:tc>
        <w:tc>
          <w:tcPr>
            <w:tcW w:type="dxa" w:w="2160"/>
          </w:tcPr>
          <w:p>
            <w:r>
              <w:t>alle Stichproben i.O.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  <w:tr>
        <w:tc>
          <w:tcPr>
            <w:tcW w:type="dxa" w:w="2160"/>
          </w:tcPr>
          <w:p>
            <w:r>
              <w:t>Korrosionspruefung Salzspruehnebel</w:t>
            </w:r>
          </w:p>
        </w:tc>
        <w:tc>
          <w:tcPr>
            <w:tcW w:type="dxa" w:w="2160"/>
          </w:tcPr>
          <w:p>
            <w:r>
              <w:t>ASTM B117, 480h (Stellantis CSR)</w:t>
            </w:r>
          </w:p>
        </w:tc>
        <w:tc>
          <w:tcPr>
            <w:tcW w:type="dxa" w:w="2160"/>
          </w:tcPr>
          <w:p>
            <w:r>
              <w:t>i.O.</w:t>
            </w:r>
          </w:p>
        </w:tc>
        <w:tc>
          <w:tcPr>
            <w:tcW w:type="dxa" w:w="2160"/>
          </w:tcPr>
          <w:p>
            <w:r>
              <w:t>Bestanden</w:t>
            </w:r>
          </w:p>
        </w:tc>
      </w:tr>
    </w:tbl>
    <w:p>
      <w:pPr>
        <w:pStyle w:val="Heading3"/>
      </w:pPr>
      <w:r>
        <w:t>Statistische Auswertung</w:t>
      </w:r>
    </w:p>
    <w:p>
      <w:r>
        <w:t>Yield-Rate Lot W14-2023: 99,82 % (8 NIO bei 4.820 Stueck Eingang). NIO-Verteilung: 3 x FCT-EOL (CAN-Bus-Diagnose, Re-Test bestanden), 2 x ICT (Bauteil-Lift), 2 x EMV-Vorpruefung (Stichproben, re-test bestanden), 1 x Verguss-Bubble (Re-Sealing erfolgreich). Endgueltige NIO-Quote nach Re-Test: 0 Stueck; Yield 100 % nach Nacharbeit. PPM-Quote: 0 ppm im Lot.</w:t>
      </w:r>
    </w:p>
    <w:p>
      <w:pPr>
        <w:pStyle w:val="Heading3"/>
      </w:pPr>
      <w:r>
        <w:t>Freigabe</w:t>
      </w:r>
    </w:p>
    <w:p>
      <w:r>
        <w:t>Auf Basis der Testergebnisse erfolgt die Freigabe des Lots W14-2023 zur Auslieferung an Mercedes-Benz (Werk Sindelfingen, Anlieferung 16.4.2023) und Stellantis (Werk Hordain/F, Anlieferung 17.4.2023). Freigabe durch QS-Engineering (Dr.-Ing. Kerstin Roggner) sowie Q-Leitung Werk (Sabine Brand) erteilt am 11.4.2023.</w:t>
      </w:r>
    </w:p>
    <w:p>
      <w:pPr>
        <w:pStyle w:val="Heading3"/>
      </w:pPr>
      <w:r>
        <w:t>Anlagen</w:t>
      </w:r>
    </w:p>
    <w:p>
      <w:r>
        <w:t>(1) Test-Protokolle EOL pro Stueck (digital, abgelegt in Brennhagen-QS-Datenbank, Lot W14-2023); (2) Statistical Process Control Auswertung (Cpk-Werte je Pruefparameter); (3) EMV-Pruefprotokoll Schaffner; (4) Burn-In-Protokoll Stichprobe; (5) Freigabe-Liste mit Seriennummern.</w:t>
      </w:r>
    </w:p>
    <w:p>
      <w:pPr>
        <w:pStyle w:val="Heading3"/>
      </w:pPr>
      <w:r>
        <w:t>Unterschrift</w:t>
      </w:r>
    </w:p>
    <w:p>
      <w:r>
        <w:t>Ort, Datum: Heilbronn, den 11. April 2023</w:t>
      </w:r>
    </w:p>
    <w:p>
      <w:r>
        <w:t>_________________________            _________________________</w:t>
        <w:br/>
        <w:t>Dr.-Ing. Kerstin Roggner                          Sabine Brand</w:t>
        <w:br/>
        <w:t>QS-Engineering                          Q-Leitung Werk Heilbronn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