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Stage-Gate-Review G3 – Detailentwicklung ICP-3 OTA Update Platform (PRJ-2023-003)</w:t>
      </w:r>
    </w:p>
    <w:p>
      <w:pPr>
        <w:jc w:val="center"/>
      </w:pPr>
      <w:r>
        <w:t>Gate G3 (Detailentwicklung -&gt; Verifikation); Review-Sitzung am 24.5.2023, Heilbronn</w:t>
      </w:r>
    </w:p>
    <w:p/>
    <w:p>
      <w:pPr>
        <w:pStyle w:val="Heading3"/>
      </w:pPr>
      <w:r>
        <w:t>Projektkontext</w:t>
      </w:r>
    </w:p>
    <w:p>
      <w:r>
        <w:t>Projekt PRJ-2023-003 erweitert die Plattform ICP-3 (InfoConnect Pro Infotainment) um eine Over-the-Air-Update-Faehigkeit (FOTA). Stakeholder-OEM: BMW Group (Lead-Kunde, Programm G05 LCI 2025), Mercedes-Benz (Sekundaer-Kunde, MMA-Plattform). Projekt-Budget: 12,4 Mio. EUR (genehmigt durch REA-Vorstand 14.11.2022). Projektleiter Werk Heilbronn: Dr.-Ing. Patrick Sandner; Konzern-Sponsoring: CTO Dr. Petra Hollmann (ab 1.7.2024); bis dahin uebergangsweise COO Dr. Thomas Weber.</w:t>
      </w:r>
    </w:p>
    <w:p>
      <w:pPr>
        <w:pStyle w:val="Heading3"/>
      </w:pPr>
      <w:r>
        <w:t>Gate-Definition</w:t>
      </w:r>
    </w:p>
    <w:p>
      <w:r>
        <w:t>Gate G3 entspricht im Konzern-Stage-Gate-Modell dem Uebergang von der Detail-Entwicklungsphase (D) zur Verifikations- und Validierungsphase (V&amp;V). Voraussetzungen fuer Freigabe: (a) abgeschlossene Spezifikation Software-Architektur (SDS Rev. 2.0); (b) abgeschlossene Hardware-Aenderungen ICP-3 fuer FOTA (zusaetzlicher 64 GB eUFS Speicher, Redundanz-Boot-Partition); (c) abgeschlossener Cybersecurity-Konzept-Review (ISO/SAE 21434); (d) Lieferanten-Freigaben fuer Schluesselkomponenten.</w:t>
      </w:r>
    </w:p>
    <w:p>
      <w:pPr>
        <w:pStyle w:val="Heading3"/>
      </w:pPr>
      <w:r>
        <w:t>Status zum Gate-Datum 24.5.2023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Liefergegenstand</w:t>
            </w:r>
          </w:p>
        </w:tc>
        <w:tc>
          <w:tcPr>
            <w:tcW w:type="dxa" w:w="2160"/>
          </w:tcPr>
          <w:p>
            <w:r>
              <w:t>Soll</w:t>
            </w:r>
          </w:p>
        </w:tc>
        <w:tc>
          <w:tcPr>
            <w:tcW w:type="dxa" w:w="2160"/>
          </w:tcPr>
          <w:p>
            <w:r>
              <w:t>Ist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SDS Software-Architektur Rev. 2.0</w:t>
            </w:r>
          </w:p>
        </w:tc>
        <w:tc>
          <w:tcPr>
            <w:tcW w:type="dxa" w:w="2160"/>
          </w:tcPr>
          <w:p>
            <w:r>
              <w:t>abgeschlossen</w:t>
            </w:r>
          </w:p>
        </w:tc>
        <w:tc>
          <w:tcPr>
            <w:tcW w:type="dxa" w:w="2160"/>
          </w:tcPr>
          <w:p>
            <w:r>
              <w:t>Rev. 2.0 final 12.5.2023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Hardware-Aenderungspaket ICP-3-Mod-4 (eUFS-Boot)</w:t>
            </w:r>
          </w:p>
        </w:tc>
        <w:tc>
          <w:tcPr>
            <w:tcW w:type="dxa" w:w="2160"/>
          </w:tcPr>
          <w:p>
            <w:r>
              <w:t>abgeschlossen</w:t>
            </w:r>
          </w:p>
        </w:tc>
        <w:tc>
          <w:tcPr>
            <w:tcW w:type="dxa" w:w="2160"/>
          </w:tcPr>
          <w:p>
            <w:r>
              <w:t>EE-Freigabe 18.5.2023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Cybersecurity-Konzept ISO/SAE 21434 (TARA)</w:t>
            </w:r>
          </w:p>
        </w:tc>
        <w:tc>
          <w:tcPr>
            <w:tcW w:type="dxa" w:w="2160"/>
          </w:tcPr>
          <w:p>
            <w:r>
              <w:t>abgeschlossen</w:t>
            </w:r>
          </w:p>
        </w:tc>
        <w:tc>
          <w:tcPr>
            <w:tcW w:type="dxa" w:w="2160"/>
          </w:tcPr>
          <w:p>
            <w:r>
              <w:t>Review TUEV Sued 22.5.2023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Cryptographic Key Management Concept</w:t>
            </w:r>
          </w:p>
        </w:tc>
        <w:tc>
          <w:tcPr>
            <w:tcW w:type="dxa" w:w="2160"/>
          </w:tcPr>
          <w:p>
            <w:r>
              <w:t>abgeschlossen</w:t>
            </w:r>
          </w:p>
        </w:tc>
        <w:tc>
          <w:tcPr>
            <w:tcW w:type="dxa" w:w="2160"/>
          </w:tcPr>
          <w:p>
            <w:r>
              <w:t>Final 19.5.2023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Lieferanten-Freigabe Micron LPDDR5 12 GB</w:t>
            </w:r>
          </w:p>
        </w:tc>
        <w:tc>
          <w:tcPr>
            <w:tcW w:type="dxa" w:w="2160"/>
          </w:tcPr>
          <w:p>
            <w:r>
              <w:t>abgeschlossen</w:t>
            </w:r>
          </w:p>
        </w:tc>
        <w:tc>
          <w:tcPr>
            <w:tcW w:type="dxa" w:w="2160"/>
          </w:tcPr>
          <w:p>
            <w:r>
              <w:t>PPAP Level 3 freigegeben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Lieferanten-Freigabe Samsung eUFS 4.0 64 GB</w:t>
            </w:r>
          </w:p>
        </w:tc>
        <w:tc>
          <w:tcPr>
            <w:tcW w:type="dxa" w:w="2160"/>
          </w:tcPr>
          <w:p>
            <w:r>
              <w:t>abgeschlossen</w:t>
            </w:r>
          </w:p>
        </w:tc>
        <w:tc>
          <w:tcPr>
            <w:tcW w:type="dxa" w:w="2160"/>
          </w:tcPr>
          <w:p>
            <w:r>
              <w:t>PPAP Level 3 freigegeben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Lieferanten-Freigabe Qualcomm SA8295P (Bestand)</w:t>
            </w:r>
          </w:p>
        </w:tc>
        <w:tc>
          <w:tcPr>
            <w:tcW w:type="dxa" w:w="2160"/>
          </w:tcPr>
          <w:p>
            <w:r>
              <w:t>Bestaetigung</w:t>
            </w:r>
          </w:p>
        </w:tc>
        <w:tc>
          <w:tcPr>
            <w:tcW w:type="dxa" w:w="2160"/>
          </w:tcPr>
          <w:p>
            <w:r>
              <w:t>weiterhin freigegeben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Test-Konzept V&amp;V (Sample-Plaene, Test-Cases)</w:t>
            </w:r>
          </w:p>
        </w:tc>
        <w:tc>
          <w:tcPr>
            <w:tcW w:type="dxa" w:w="2160"/>
          </w:tcPr>
          <w:p>
            <w:r>
              <w:t>abgeschlossen</w:t>
            </w:r>
          </w:p>
        </w:tc>
        <w:tc>
          <w:tcPr>
            <w:tcW w:type="dxa" w:w="2160"/>
          </w:tcPr>
          <w:p>
            <w:r>
              <w:t>Final 22.5.2023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Reichweite-OTA Risk-Analyse (Bricking-Risiko)</w:t>
            </w:r>
          </w:p>
        </w:tc>
        <w:tc>
          <w:tcPr>
            <w:tcW w:type="dxa" w:w="2160"/>
          </w:tcPr>
          <w:p>
            <w:r>
              <w:t>abgeschlossen</w:t>
            </w:r>
          </w:p>
        </w:tc>
        <w:tc>
          <w:tcPr>
            <w:tcW w:type="dxa" w:w="2160"/>
          </w:tcPr>
          <w:p>
            <w:r>
              <w:t>Risiko-Score 4 (gering)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</w:tbl>
    <w:p>
      <w:pPr>
        <w:pStyle w:val="Heading3"/>
      </w:pPr>
      <w:r>
        <w:t>Risiken / Open Issues</w:t>
      </w:r>
    </w:p>
    <w:p>
      <w:pPr>
        <w:pStyle w:val="ListBullet"/>
      </w:pPr>
      <w:r>
        <w:t>Risiko 1 (mittel): Verzoegerung Qualcomm SoC-Patch fuer FOTA-Bootloader (BL-3.2.1); Verfuegbarkeit aktuell 30.6.2023; mitigation: paralleles Test mit BL-3.1.4 (eingeschraenkte Funktion).</w:t>
      </w:r>
    </w:p>
    <w:p>
      <w:pPr>
        <w:pStyle w:val="ListBullet"/>
      </w:pPr>
      <w:r>
        <w:t>Risiko 2 (niedrig): Mercedes-CSR-Update erwartet Q3 2023 fuer MMA-Plattform; ggf. Re-Design-Iteration noetig.</w:t>
      </w:r>
    </w:p>
    <w:p>
      <w:pPr>
        <w:pStyle w:val="ListBullet"/>
      </w:pPr>
      <w:r>
        <w:t>Open Issue 1: Endgueltige Vereinbarung mit BMW ueber OTA-Update-Frequenz (vorgeschlagen alle 90 Tage; BMW Wunsch alle 60 Tage) – Verhandlung Q3 2023.</w:t>
      </w:r>
    </w:p>
    <w:p>
      <w:pPr>
        <w:pStyle w:val="ListBullet"/>
      </w:pPr>
      <w:r>
        <w:t>Open Issue 2: Cybersecurity-Audit durch BMW-eigenes Red-Team noch nicht terminiert (erwartet Q3 2023).</w:t>
      </w:r>
    </w:p>
    <w:p>
      <w:pPr>
        <w:pStyle w:val="Heading3"/>
      </w:pPr>
      <w:r>
        <w:t>Gate-Entscheidung</w:t>
      </w:r>
    </w:p>
    <w:p>
      <w:r>
        <w:t>Auf Basis der vorliegenden Liefergegenstaende und der ueberwiegend gruenen Status-Ampel wird das Gate G3 mit Auflagen freigegeben (»Conditional Pass«). Auflagen: (1) Verfuegbarkeit Qualcomm BL-3.2.1 bis 30.6.2023 oder Eskalation Plan B; (2) Klaerung OTA-Update-Frequenz mit BMW bis 31.7.2023; (3) Cybersecurity-Audit BMW Red-Team bis 30.9.2023 abschliessen. Naechstes Gate G4 (Verifikation abgeschlossen) geplant: 14.11.2023.</w:t>
      </w:r>
    </w:p>
    <w:p>
      <w:pPr>
        <w:pStyle w:val="Heading3"/>
      </w:pPr>
      <w:r>
        <w:t>Teilnehmer Gate-Sitzung</w:t>
      </w:r>
    </w:p>
    <w:p>
      <w:r>
        <w:t>Dr. Patrick Sandner (Projektleiter Werk REG), Dr. Klaus Kessler (Werkleiter RSG, Software-Lead), Sabine Brand (Q-Leitung REG), Andreas Maier (Geschaeftsfuehrer REG), Dr. Thomas Weber (COO REA, Sponsor), Markus Henkel (Produktionsleiter REG), Dr.-Ing. Kerstin Roggner (QS-Engineering REG), Cybersecurity-Vertreter Hr. Patrick Voss (extern, TUEV Sued). Protokoll: Dr. Sandner.</w:t>
      </w:r>
    </w:p>
    <w:p>
      <w:pPr>
        <w:pStyle w:val="Heading3"/>
      </w:pPr>
      <w:r>
        <w:t>Unterschrift</w:t>
      </w:r>
    </w:p>
    <w:p>
      <w:r>
        <w:t>Ort, Datum: Heilbronn, den 24. Mai 2023</w:t>
      </w:r>
    </w:p>
    <w:p>
      <w:r>
        <w:t>_________________________            _________________________</w:t>
        <w:br/>
        <w:t>Dr.-Ing. Patrick Sandner                          Dr. Thomas Weber</w:t>
        <w:br/>
        <w:t>Projektleiter PRJ-2023-003                          COO / Gate-Sponsor</w:t>
        <w:br/>
        <w:t>Brennhagen Elektronik GmbH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