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(RCN)</w:t>
      </w:r>
    </w:p>
    <w:p>
      <w:r>
        <w:rPr>
          <w:sz w:val="18"/>
        </w:rPr>
        <w:t>Building 7, 888 Hongqiao Road, Changning District, 200336 Shanghai, P.R. China  |  Unified Social Credit Code 91310115MA1FL42Q38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Invoice January 2022 – RCN Shanghai to REG Heilbronn</w:t>
      </w:r>
    </w:p>
    <w:p>
      <w:pPr>
        <w:jc w:val="center"/>
      </w:pPr>
      <w:r>
        <w:t>Invoice No. RCN-IC-2022-01; Asien-Aftermarket-Komponenten Re-Routing</w:t>
      </w:r>
    </w:p>
    <w:p/>
    <w:p>
      <w:pPr>
        <w:pStyle w:val="Heading3"/>
      </w:pPr>
      <w:r>
        <w:t>Hinweis Ablage</w:t>
      </w:r>
    </w:p>
    <w:p>
      <w:r>
        <w:t>Diese Rechnung ist in der Ablage 03_Tochter_DE_REG_Heilbronn versehentlich abgelegt (»wrong folder«); originaere Zustaendigkeit liegt bei der RCN-Buchhaltung Shanghai sowie der REG-Buchhaltung Heilbronn (Eingangsrechnung Konto 33xxx). Korrekturhinweis bereits an Konzern-Document-Management gemeldet (Ticket DMS-2022-2148).</w:t>
      </w:r>
    </w:p>
    <w:p>
      <w:pPr>
        <w:pStyle w:val="Heading3"/>
      </w:pPr>
      <w:r>
        <w:t>Invoice Header (English / German)</w:t>
      </w:r>
    </w:p>
    <w:p>
      <w:r>
        <w:t>From / Rechnungssteller:</w:t>
        <w:br/>
        <w:t xml:space="preserve">  Brennhagen (Shanghai) Co. Ltd.</w:t>
        <w:br/>
        <w:t xml:space="preserve">  Building 7, 888 Hongqiao Road, Changning District, 200336 Shanghai, P.R. China</w:t>
        <w:br/>
        <w:t xml:space="preserve">  Unified Social Credit Code (USCI): 91310115MA1FL42Q38</w:t>
        <w:br/>
        <w:t xml:space="preserve">  Local Tax Bureau: Shanghai Changning District; Country Manager: Zhang Hao</w:t>
      </w:r>
    </w:p>
    <w:p>
      <w:r>
        <w:t>To / Rechnungsempfaengerin:</w:t>
        <w:br/>
        <w:t xml:space="preserve">  Brennhagen Elektronik GmbH (REG)</w:t>
        <w:br/>
        <w:t xml:space="preserve">  Industriestrasse 47, 74076 Heilbronn, Germany</w:t>
        <w:br/>
        <w:t xml:space="preserve">  HRB 221456, AG Heilbronn; VAT-ID DE 287 612 449</w:t>
        <w:br/>
        <w:t xml:space="preserve">  Buchungsstelle: Stefan Richter (Finanzcontroller)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RCN-IC-2022-01</w:t>
            </w:r>
          </w:p>
        </w:tc>
      </w:tr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10. February 2022</w:t>
            </w:r>
          </w:p>
        </w:tc>
      </w:tr>
      <w:tr>
        <w:tc>
          <w:tcPr>
            <w:tcW w:type="dxa" w:w="4320"/>
          </w:tcPr>
          <w:p>
            <w:r>
              <w:t>Service Period</w:t>
            </w:r>
          </w:p>
        </w:tc>
        <w:tc>
          <w:tcPr>
            <w:tcW w:type="dxa" w:w="4320"/>
          </w:tcPr>
          <w:p>
            <w:r>
              <w:t>January 1-31, 2022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EUR (Settlement; Booking in CNY equivalent)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30 days net via Konzern-Cash-Pool (Sweep)</w:t>
            </w:r>
          </w:p>
        </w:tc>
      </w:tr>
      <w:tr>
        <w:tc>
          <w:tcPr>
            <w:tcW w:type="dxa" w:w="4320"/>
          </w:tcPr>
          <w:p>
            <w:r>
              <w:t>Transfer Pricing Method</w:t>
            </w:r>
          </w:p>
        </w:tc>
        <w:tc>
          <w:tcPr>
            <w:tcW w:type="dxa" w:w="4320"/>
          </w:tcPr>
          <w:p>
            <w:r>
              <w:t>Cost+ 7 % on aftermarket components</w:t>
            </w:r>
          </w:p>
        </w:tc>
      </w:tr>
      <w:tr>
        <w:tc>
          <w:tcPr>
            <w:tcW w:type="dxa" w:w="4320"/>
          </w:tcPr>
          <w:p>
            <w:r>
              <w:t>Incoterms</w:t>
            </w:r>
          </w:p>
        </w:tc>
        <w:tc>
          <w:tcPr>
            <w:tcW w:type="dxa" w:w="4320"/>
          </w:tcPr>
          <w:p>
            <w:r>
              <w:t>DAP Heilbronn (Incoterms 2020)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RCN-REG vom 1.4.2021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Aftermarket-Komponenten ICP-3 (Re-Routing China -&gt; Heilbronn fuer Europa-Aftermarket)</w:t>
            </w:r>
          </w:p>
        </w:tc>
        <w:tc>
          <w:tcPr>
            <w:tcW w:type="dxa" w:w="2880"/>
          </w:tcPr>
          <w:p>
            <w:r>
              <w:t>2.840.500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ADAS-V4D Sensor-Stueck-Komponenten Bestellung Werk Wuhan</w:t>
            </w:r>
          </w:p>
        </w:tc>
        <w:tc>
          <w:tcPr>
            <w:tcW w:type="dxa" w:w="2880"/>
          </w:tcPr>
          <w:p>
            <w:r>
              <w:t>640.000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Logistik-Vorbereitung Containertransport Shanghai -&gt; Hamburg (3x40ft HC)</w:t>
            </w:r>
          </w:p>
        </w:tc>
        <w:tc>
          <w:tcPr>
            <w:tcW w:type="dxa" w:w="2880"/>
          </w:tcPr>
          <w:p>
            <w:r>
              <w:t>180.400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Zoll-/Verzollungs-Service (extern via DHL Industrial)</w:t>
            </w:r>
          </w:p>
        </w:tc>
        <w:tc>
          <w:tcPr>
            <w:tcW w:type="dxa" w:w="2880"/>
          </w:tcPr>
          <w:p>
            <w:r>
              <w:t>62.300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Engineering-Quality-Inspection RCN Shanghai (Cost+ 8 %)</w:t>
            </w:r>
          </w:p>
        </w:tc>
        <w:tc>
          <w:tcPr>
            <w:tcW w:type="dxa" w:w="2880"/>
          </w:tcPr>
          <w:p>
            <w:r>
              <w:t>98.800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Sonstige Sammelposten Material</w:t>
            </w:r>
          </w:p>
        </w:tc>
        <w:tc>
          <w:tcPr>
            <w:tcW w:type="dxa" w:w="2880"/>
          </w:tcPr>
          <w:p>
            <w:r>
              <w:t>321.200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4.143.281</w:t>
            </w:r>
          </w:p>
        </w:tc>
      </w:tr>
      <w:tr>
        <w:tc>
          <w:tcPr>
            <w:tcW w:type="dxa" w:w="2880"/>
          </w:tcPr>
          <w:p>
            <w:r>
              <w:t>Innergemeinschaftliche Lieferung (steuerbefreit Export CN -&gt; DE)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 EUR (umsatzsteuerfrei)</w:t>
            </w:r>
          </w:p>
        </w:tc>
      </w:tr>
      <w:tr>
        <w:tc>
          <w:tcPr>
            <w:tcW w:type="dxa" w:w="2880"/>
          </w:tcPr>
          <w:p>
            <w:r>
              <w:t>Total Invoice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4.143.281 EUR (Anzeige Gesamt brutto 4.361.349 EUR bei interner Verzollungs-Brutto-Buchung)</w:t>
            </w:r>
          </w:p>
        </w:tc>
      </w:tr>
    </w:tbl>
    <w:p>
      <w:pPr>
        <w:pStyle w:val="Heading3"/>
      </w:pPr>
      <w:r>
        <w:t>Hinweise / Settlement</w:t>
      </w:r>
    </w:p>
    <w:p>
      <w:r>
        <w:t>Cross-Border-Settlement zwischen RCN (CNY) und REG (EUR) erfolgt ueber den Konzern-Cash-Pool unter Federfuehrung der Group Treasury (Markus Pflanzer, REA Stuttgart). FX-Hedging EUR/CNY erfolgt durch die Konzern-Treasury ueber die Hausbanken BNP Paribas und Deutsche Bank (siehe FX-Hedge-Berichte REA_FX_Hedge_EUR_CNY_2022_Q1). Die Buchung erfolgt zum ECB-Referenzkurs zum Rechnungsdatum (10.2.2022: EUR/CNY 7.1240). Verrechnungspreis-Methode dokumentiert im RCN-Local-File 2022 (geprueft durch KPMG China Shanghai).</w:t>
      </w:r>
    </w:p>
    <w:p>
      <w:pPr>
        <w:pStyle w:val="Heading3"/>
      </w:pPr>
      <w:r>
        <w:t>Bestaetigungen</w:t>
      </w:r>
    </w:p>
    <w:p>
      <w:r>
        <w:t>Sachliche Richtigkeit: Liang Wei (Finance Manager RCN). Genehmigung: Zhang Hao (Country Manager RCN). Empfangsbestaetigung: Stefan Richter (Finanzcontroller REG). Tax-Review (Konzern): Dr. Heike Berger (Group Tax Director).</w:t>
      </w:r>
    </w:p>
    <w:p>
      <w:pPr>
        <w:pStyle w:val="Heading3"/>
      </w:pPr>
      <w:r>
        <w:t>Signature</w:t>
      </w:r>
    </w:p>
    <w:p>
      <w:r>
        <w:t>Ort, Datum: Shanghai, den February 10, 2022</w:t>
      </w:r>
    </w:p>
    <w:p>
      <w:r>
        <w:t>_________________________            _________________________</w:t>
        <w:br/>
        <w:t>Liang Wei                          Zhang Hao</w:t>
        <w:br/>
        <w:t>Finance Manager                          Country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