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GmbH (REG)</w:t>
      </w:r>
    </w:p>
    <w:p>
      <w:r>
        <w:rPr>
          <w:sz w:val="18"/>
        </w:rPr>
        <w:t>Industriestrasse 47, 74076 Heilbronn  |  HRB 221456, Amtsgericht Heilbronn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Compliance-Bericht 2023 – Brennhagen Elektronik GmbH</w:t>
      </w:r>
    </w:p>
    <w:p>
      <w:pPr>
        <w:jc w:val="center"/>
      </w:pPr>
      <w:r>
        <w:t>Berichtsperiode: 1. Januar 2023 – 31. Dezember 2023; Stichtag 31.12.2023</w:t>
      </w:r>
    </w:p>
    <w:p/>
    <w:p>
      <w:pPr>
        <w:pStyle w:val="Heading3"/>
      </w:pPr>
      <w:r>
        <w:t>Berichtszweck</w:t>
      </w:r>
    </w:p>
    <w:p>
      <w:r>
        <w:t>Der Compliance-Bericht 2023 dokumentiert den Stand des Compliance-Management-Systems (CMS) der Brennhagen Elektronik GmbH (REG) Werk Heilbronn. Der Bericht erfuellt die interne Berichtspflicht gegenueber dem Konzern-Compliance-Officer (Dr. Rainer Kunze, REA Stuttgart) sowie die Anforderungen des Pruefungsausschusses des Aufsichtsrates der Brennhagen Elektronik AG (Vorsitz Prof. Dr.-Ing. Gerhard Voss). Methodik orientiert sich am IDW PS 980 (Grundsaetze ordnungsmaessiger Pruefung von Compliance-Management-Systemen) sowie am Konzern-Code-of-Conduct 2023.</w:t>
      </w:r>
    </w:p>
    <w:p>
      <w:pPr>
        <w:pStyle w:val="Heading3"/>
      </w:pPr>
      <w:r>
        <w:t>Compliance-Organisation REG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Funktion</w:t>
            </w:r>
          </w:p>
        </w:tc>
        <w:tc>
          <w:tcPr>
            <w:tcW w:type="dxa" w:w="2880"/>
          </w:tcPr>
          <w:p>
            <w:r>
              <w:t>Verantwortlich</w:t>
            </w:r>
          </w:p>
        </w:tc>
        <w:tc>
          <w:tcPr>
            <w:tcW w:type="dxa" w:w="2880"/>
          </w:tcPr>
          <w:p>
            <w:r>
              <w:t>Berichtsweg</w:t>
            </w:r>
          </w:p>
        </w:tc>
      </w:tr>
      <w:tr>
        <w:tc>
          <w:tcPr>
            <w:tcW w:type="dxa" w:w="2880"/>
          </w:tcPr>
          <w:p>
            <w:r>
              <w:t>Local Compliance Officer</w:t>
            </w:r>
          </w:p>
        </w:tc>
        <w:tc>
          <w:tcPr>
            <w:tcW w:type="dxa" w:w="2880"/>
          </w:tcPr>
          <w:p>
            <w:r>
              <w:t>Dr. Lena Engelhardt (REG Legal)</w:t>
            </w:r>
          </w:p>
        </w:tc>
        <w:tc>
          <w:tcPr>
            <w:tcW w:type="dxa" w:w="2880"/>
          </w:tcPr>
          <w:p>
            <w:r>
              <w:t>Konzern-Compliance Stuttgart</w:t>
            </w:r>
          </w:p>
        </w:tc>
      </w:tr>
      <w:tr>
        <w:tc>
          <w:tcPr>
            <w:tcW w:type="dxa" w:w="2880"/>
          </w:tcPr>
          <w:p>
            <w:r>
              <w:t>Geldwaeschebeauftragte</w:t>
            </w:r>
          </w:p>
        </w:tc>
        <w:tc>
          <w:tcPr>
            <w:tcW w:type="dxa" w:w="2880"/>
          </w:tcPr>
          <w:p>
            <w:r>
              <w:t>Stefan Richter (Controlling)</w:t>
            </w:r>
          </w:p>
        </w:tc>
        <w:tc>
          <w:tcPr>
            <w:tcW w:type="dxa" w:w="2880"/>
          </w:tcPr>
          <w:p>
            <w:r>
              <w:t>Geschaeftsfuehrer + KPMG</w:t>
            </w:r>
          </w:p>
        </w:tc>
      </w:tr>
      <w:tr>
        <w:tc>
          <w:tcPr>
            <w:tcW w:type="dxa" w:w="2880"/>
          </w:tcPr>
          <w:p>
            <w:r>
              <w:t>Datenschutzbeauftragter</w:t>
            </w:r>
          </w:p>
        </w:tc>
        <w:tc>
          <w:tcPr>
            <w:tcW w:type="dxa" w:w="2880"/>
          </w:tcPr>
          <w:p>
            <w:r>
              <w:t>extern: SecLaw GmbH, Heilbronn</w:t>
            </w:r>
          </w:p>
        </w:tc>
        <w:tc>
          <w:tcPr>
            <w:tcW w:type="dxa" w:w="2880"/>
          </w:tcPr>
          <w:p>
            <w:r>
              <w:t>Konzern-Datenschutz</w:t>
            </w:r>
          </w:p>
        </w:tc>
      </w:tr>
      <w:tr>
        <w:tc>
          <w:tcPr>
            <w:tcW w:type="dxa" w:w="2880"/>
          </w:tcPr>
          <w:p>
            <w:r>
              <w:t>Exportkontrolle</w:t>
            </w:r>
          </w:p>
        </w:tc>
        <w:tc>
          <w:tcPr>
            <w:tcW w:type="dxa" w:w="2880"/>
          </w:tcPr>
          <w:p>
            <w:r>
              <w:t>Heike Stoerle (Logistik)</w:t>
            </w:r>
          </w:p>
        </w:tc>
        <w:tc>
          <w:tcPr>
            <w:tcW w:type="dxa" w:w="2880"/>
          </w:tcPr>
          <w:p>
            <w:r>
              <w:t>Ausfuhrverantwortlicher REA</w:t>
            </w:r>
          </w:p>
        </w:tc>
      </w:tr>
      <w:tr>
        <w:tc>
          <w:tcPr>
            <w:tcW w:type="dxa" w:w="2880"/>
          </w:tcPr>
          <w:p>
            <w:r>
              <w:t>Anti-Korruption</w:t>
            </w:r>
          </w:p>
        </w:tc>
        <w:tc>
          <w:tcPr>
            <w:tcW w:type="dxa" w:w="2880"/>
          </w:tcPr>
          <w:p>
            <w:r>
              <w:t>Local Compliance Officer</w:t>
            </w:r>
          </w:p>
        </w:tc>
        <w:tc>
          <w:tcPr>
            <w:tcW w:type="dxa" w:w="2880"/>
          </w:tcPr>
          <w:p>
            <w:r>
              <w:t>Konzern-Compliance + Vorstand</w:t>
            </w:r>
          </w:p>
        </w:tc>
      </w:tr>
    </w:tbl>
    <w:p>
      <w:pPr>
        <w:pStyle w:val="Heading3"/>
      </w:pPr>
      <w:r>
        <w:t>Wesentliche Themen 2023</w:t>
      </w:r>
    </w:p>
    <w:p>
      <w:pPr>
        <w:pStyle w:val="ListBullet"/>
      </w:pPr>
      <w:r>
        <w:t>Aktualisierung des Code of Conduct (Version 3.2, Inkrafttreten 1.4.2023) – Verteilung in Deutsch/Englisch an alle 820 Beschaeftigten REG; Quittungsquote 99,2 %.</w:t>
      </w:r>
    </w:p>
    <w:p>
      <w:pPr>
        <w:pStyle w:val="ListBullet"/>
      </w:pPr>
      <w:r>
        <w:t>Implementierung des Hinweisgebersystems gemaess HinSchG (Hinweisgeberschutzgesetz, wirksam 2.7.2023): Anbindung an Konzern-Whistleblower-Tool »Speak-Up« (Provider EQS Group, hosting in DE); im Berichtsjahr 4 Meldungen aus REG (alle geprueft, 2 ohne Befund, 2 mit organisatorischen Massnahmen abgeschlossen).</w:t>
      </w:r>
    </w:p>
    <w:p>
      <w:pPr>
        <w:pStyle w:val="ListBullet"/>
      </w:pPr>
      <w:r>
        <w:t>Auffrischungsschulung Kartellrecht (Schulungsmodul »Wettbewerbsrecht im Vertrieb«) – absolviert von 100 % der Vertriebs- und KAM-Mitarbeiter, 92 % Gesamtquote REG.</w:t>
      </w:r>
    </w:p>
    <w:p>
      <w:pPr>
        <w:pStyle w:val="ListBullet"/>
      </w:pPr>
      <w:r>
        <w:t>Audit Exportkontrolle / Dual-Use (BAFA-relevant) durchgefuehrt durch SUEDDEUTSCHE TREUHAND – keine wesentlichen Feststellungen, 3 Hinweise (umgesetzt bis 31.10.2023).</w:t>
      </w:r>
    </w:p>
    <w:p>
      <w:pPr>
        <w:pStyle w:val="ListBullet"/>
      </w:pPr>
      <w:r>
        <w:t>Datenschutz: 2 meldepflichtige Vorfaelle gemaess Art. 33 DSGVO (verloren gegangenes Notebook, irrtuemlicher E-Mail-Versand) – fristgerecht an LfD BW gemeldet, Folgemassnahmen umgesetzt.</w:t>
      </w:r>
    </w:p>
    <w:p>
      <w:pPr>
        <w:pStyle w:val="Heading3"/>
      </w:pPr>
      <w:r>
        <w:t>Schulungs-KPI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Modul</w:t>
            </w:r>
          </w:p>
        </w:tc>
        <w:tc>
          <w:tcPr>
            <w:tcW w:type="dxa" w:w="2160"/>
          </w:tcPr>
          <w:p>
            <w:r>
              <w:t>Pflicht-Zielgruppe</w:t>
            </w:r>
          </w:p>
        </w:tc>
        <w:tc>
          <w:tcPr>
            <w:tcW w:type="dxa" w:w="2160"/>
          </w:tcPr>
          <w:p>
            <w:r>
              <w:t>Abdeckung 2023</w:t>
            </w:r>
          </w:p>
        </w:tc>
        <w:tc>
          <w:tcPr>
            <w:tcW w:type="dxa" w:w="2160"/>
          </w:tcPr>
          <w:p>
            <w:r>
              <w:t>Plan 2024</w:t>
            </w:r>
          </w:p>
        </w:tc>
      </w:tr>
      <w:tr>
        <w:tc>
          <w:tcPr>
            <w:tcW w:type="dxa" w:w="2160"/>
          </w:tcPr>
          <w:p>
            <w:r>
              <w:t>Code of Conduct (E-Learning)</w:t>
            </w:r>
          </w:p>
        </w:tc>
        <w:tc>
          <w:tcPr>
            <w:tcW w:type="dxa" w:w="2160"/>
          </w:tcPr>
          <w:p>
            <w:r>
              <w:t>alle 820 MA</w:t>
            </w:r>
          </w:p>
        </w:tc>
        <w:tc>
          <w:tcPr>
            <w:tcW w:type="dxa" w:w="2160"/>
          </w:tcPr>
          <w:p>
            <w:r>
              <w:t>99 %</w:t>
            </w:r>
          </w:p>
        </w:tc>
        <w:tc>
          <w:tcPr>
            <w:tcW w:type="dxa" w:w="2160"/>
          </w:tcPr>
          <w:p>
            <w:r>
              <w:t>100 %</w:t>
            </w:r>
          </w:p>
        </w:tc>
      </w:tr>
      <w:tr>
        <w:tc>
          <w:tcPr>
            <w:tcW w:type="dxa" w:w="2160"/>
          </w:tcPr>
          <w:p>
            <w:r>
              <w:t>Anti-Korruption</w:t>
            </w:r>
          </w:p>
        </w:tc>
        <w:tc>
          <w:tcPr>
            <w:tcW w:type="dxa" w:w="2160"/>
          </w:tcPr>
          <w:p>
            <w:r>
              <w:t>alle Fuehrungskraefte + Vertrieb</w:t>
            </w:r>
          </w:p>
        </w:tc>
        <w:tc>
          <w:tcPr>
            <w:tcW w:type="dxa" w:w="2160"/>
          </w:tcPr>
          <w:p>
            <w:r>
              <w:t>97 %</w:t>
            </w:r>
          </w:p>
        </w:tc>
        <w:tc>
          <w:tcPr>
            <w:tcW w:type="dxa" w:w="2160"/>
          </w:tcPr>
          <w:p>
            <w:r>
              <w:t>100 %</w:t>
            </w:r>
          </w:p>
        </w:tc>
      </w:tr>
      <w:tr>
        <w:tc>
          <w:tcPr>
            <w:tcW w:type="dxa" w:w="2160"/>
          </w:tcPr>
          <w:p>
            <w:r>
              <w:t>Kartellrecht</w:t>
            </w:r>
          </w:p>
        </w:tc>
        <w:tc>
          <w:tcPr>
            <w:tcW w:type="dxa" w:w="2160"/>
          </w:tcPr>
          <w:p>
            <w:r>
              <w:t>Vertrieb, KAM, Werkleitung</w:t>
            </w:r>
          </w:p>
        </w:tc>
        <w:tc>
          <w:tcPr>
            <w:tcW w:type="dxa" w:w="2160"/>
          </w:tcPr>
          <w:p>
            <w:r>
              <w:t>100 %</w:t>
            </w:r>
          </w:p>
        </w:tc>
        <w:tc>
          <w:tcPr>
            <w:tcW w:type="dxa" w:w="2160"/>
          </w:tcPr>
          <w:p>
            <w:r>
              <w:t>100 %</w:t>
            </w:r>
          </w:p>
        </w:tc>
      </w:tr>
      <w:tr>
        <w:tc>
          <w:tcPr>
            <w:tcW w:type="dxa" w:w="2160"/>
          </w:tcPr>
          <w:p>
            <w:r>
              <w:t>Datenschutz / DSGVO</w:t>
            </w:r>
          </w:p>
        </w:tc>
        <w:tc>
          <w:tcPr>
            <w:tcW w:type="dxa" w:w="2160"/>
          </w:tcPr>
          <w:p>
            <w:r>
              <w:t>alle MA mit Datenbezug</w:t>
            </w:r>
          </w:p>
        </w:tc>
        <w:tc>
          <w:tcPr>
            <w:tcW w:type="dxa" w:w="2160"/>
          </w:tcPr>
          <w:p>
            <w:r>
              <w:t>94 %</w:t>
            </w:r>
          </w:p>
        </w:tc>
        <w:tc>
          <w:tcPr>
            <w:tcW w:type="dxa" w:w="2160"/>
          </w:tcPr>
          <w:p>
            <w:r>
              <w:t>100 %</w:t>
            </w:r>
          </w:p>
        </w:tc>
      </w:tr>
      <w:tr>
        <w:tc>
          <w:tcPr>
            <w:tcW w:type="dxa" w:w="2160"/>
          </w:tcPr>
          <w:p>
            <w:r>
              <w:t>Exportkontrolle</w:t>
            </w:r>
          </w:p>
        </w:tc>
        <w:tc>
          <w:tcPr>
            <w:tcW w:type="dxa" w:w="2160"/>
          </w:tcPr>
          <w:p>
            <w:r>
              <w:t>Logistik, Vertrieb, Engineering</w:t>
            </w:r>
          </w:p>
        </w:tc>
        <w:tc>
          <w:tcPr>
            <w:tcW w:type="dxa" w:w="2160"/>
          </w:tcPr>
          <w:p>
            <w:r>
              <w:t>92 %</w:t>
            </w:r>
          </w:p>
        </w:tc>
        <w:tc>
          <w:tcPr>
            <w:tcW w:type="dxa" w:w="2160"/>
          </w:tcPr>
          <w:p>
            <w:r>
              <w:t>100 %</w:t>
            </w:r>
          </w:p>
        </w:tc>
      </w:tr>
      <w:tr>
        <w:tc>
          <w:tcPr>
            <w:tcW w:type="dxa" w:w="2160"/>
          </w:tcPr>
          <w:p>
            <w:r>
              <w:t>Arbeitssicherheit (DGUV)</w:t>
            </w:r>
          </w:p>
        </w:tc>
        <w:tc>
          <w:tcPr>
            <w:tcW w:type="dxa" w:w="2160"/>
          </w:tcPr>
          <w:p>
            <w:r>
              <w:t>alle 820 MA</w:t>
            </w:r>
          </w:p>
        </w:tc>
        <w:tc>
          <w:tcPr>
            <w:tcW w:type="dxa" w:w="2160"/>
          </w:tcPr>
          <w:p>
            <w:r>
              <w:t>96 %</w:t>
            </w:r>
          </w:p>
        </w:tc>
        <w:tc>
          <w:tcPr>
            <w:tcW w:type="dxa" w:w="2160"/>
          </w:tcPr>
          <w:p>
            <w:r>
              <w:t>100 %</w:t>
            </w:r>
          </w:p>
        </w:tc>
      </w:tr>
    </w:tbl>
    <w:p>
      <w:pPr>
        <w:pStyle w:val="Heading3"/>
      </w:pPr>
      <w:r>
        <w:t>Vorfaelle / Whistleblower-Meldungen 2023</w:t>
      </w:r>
    </w:p>
    <w:p>
      <w:r>
        <w:t>Im Berichtsjahr 2023 wurden ueber das Speak-Up-System sowie ueber den Local Compliance Officer insgesamt 7 Meldungen erfasst (Vorjahr: 5). Davon: 4 anonym, 3 namentlich. Inhaltliche Schwerpunkte: 2 vermutete Mobbing-Faelle (1 bestaetigt, einvernehmliche Trennung), 2 mutmasslich falsche Spesenabrechnungen (1 bestaetigt, schriftliche Abmahnung), 1 Hinweis Lieferanten-Bevorzugung (nicht bestaetigt), 2 Verfahrensfragen (Aufklaerung). Keine bestaetigten Korruptionsfaelle, keine bestaetigten Kartellrechts-Verstoesse.</w:t>
      </w:r>
    </w:p>
    <w:p>
      <w:pPr>
        <w:pStyle w:val="Heading3"/>
      </w:pPr>
      <w:r>
        <w:t>Risikoeinschaetzung 2024</w:t>
      </w:r>
    </w:p>
    <w:p>
      <w:r>
        <w:t>Schwerpunkte 2024: (a) Aktualisierung der Lieferanten-Compliance-Erklaerungen (LkSG Lieferketten-Sorgfaltspflichtengesetz, Anwendung erweitert ab 2024 auf Unternehmen &gt;1.000 MA Konzern), (b) Schulung CSRD-Berichtspflichten Werkebene, (c) Auffrischung Sanktionslisten-Screening (Russland-Sanktionen, China-Exportkontrollen 2024), (d) Verstaerkung IT-Security-Awareness (Phishing-Simulationen Q1/Q3).</w:t>
      </w:r>
    </w:p>
    <w:p>
      <w:pPr>
        <w:pStyle w:val="Heading3"/>
      </w:pPr>
      <w:r>
        <w:t>Bestaetigung</w:t>
      </w:r>
    </w:p>
    <w:p>
      <w:r>
        <w:t>Die Geschaeftsfuehrung der Brennhagen Elektronik GmbH bestaetigt, dass das Compliance-Management-System der REG im Berichtsjahr 2023 wirksam war und keine wesentlichen Verstoesse gegen geltendes Recht festgestellt wurden, die zu materiellen Bilanz- oder Reputationsrisiken fuehren wuerden. Bericht zur Kenntnis vorgelegt am 14.2.2024 an Konzern-Compliance (Dr. Rainer Kunze) und Pruefungsausschuss (Prof. Voss).</w:t>
      </w:r>
    </w:p>
    <w:p>
      <w:pPr>
        <w:pStyle w:val="Heading3"/>
      </w:pPr>
      <w:r>
        <w:t>Unterschriften</w:t>
      </w:r>
    </w:p>
    <w:p>
      <w:r>
        <w:t>Ort, Datum: Heilbronn, den 14. Februar 2024</w:t>
      </w:r>
    </w:p>
    <w:p>
      <w:r>
        <w:t>_________________________            _________________________</w:t>
        <w:br/>
        <w:t>Andreas Maier                          Dr. Lena Engelhardt</w:t>
        <w:br/>
        <w:t>Geschaeftsfuehrer REG                          Local Compliance Officer</w:t>
        <w:br/>
        <w:t>Brennhagen Elektronik GmbH                       Brennhagen Elektronik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