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ADAS-V4D Radar Fusion Steuergeraet (Level-2/3) – Werk Heilbronn</w:t>
      </w:r>
    </w:p>
    <w:p>
      <w:pPr>
        <w:jc w:val="center"/>
      </w:pPr>
      <w:r>
        <w:t>IATF 16949 Anhang A.5; Revisionsstand 4.2; Freigabe Q-Leitung 14.2.2023</w:t>
      </w:r>
    </w:p>
    <w:p/>
    <w:p>
      <w:pPr>
        <w:pStyle w:val="Heading3"/>
      </w:pPr>
      <w:r>
        <w:t>Geltungsbereich</w:t>
      </w:r>
    </w:p>
    <w:p>
      <w:r>
        <w:t>Dieser Control Plan regelt die Prozesslenkung fuer die Serienproduktion der Produktplattform ADAS-V4D (Radar Fusion Steuergeraet (Level-2/3)) im Werk Heilbronn der Brennhagen Elektronik GmbH. Hauptkunde: Mercedes-Benz Group AG; Stellantis N.V.. Erstellt nach IATF 16949 Anhang A.5 (Production Control Plan); ergaenzend zu PFMEA Rev. 3.1 und APQP-Phase 5. Verteilung: Produktion, QS, Engineering, Werkleitung, OEM-Kunde (auf Anforderung; vertraulich).</w:t>
      </w:r>
    </w:p>
    <w:p>
      <w:pPr>
        <w:pStyle w:val="Heading3"/>
      </w:pPr>
      <w:r>
        <w:t>Allgemeine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Werksleitung</w:t>
            </w:r>
          </w:p>
        </w:tc>
        <w:tc>
          <w:tcPr>
            <w:tcW w:type="dxa" w:w="4320"/>
          </w:tcPr>
          <w:p>
            <w:r>
              <w:t>Andreas Maier (WL); Sabine Brand (Q-Leitung)</w:t>
            </w:r>
          </w:p>
        </w:tc>
      </w:tr>
      <w:tr>
        <w:tc>
          <w:tcPr>
            <w:tcW w:type="dxa" w:w="4320"/>
          </w:tcPr>
          <w:p>
            <w:r>
              <w:t>Produktfamilie</w:t>
            </w:r>
          </w:p>
        </w:tc>
        <w:tc>
          <w:tcPr>
            <w:tcW w:type="dxa" w:w="4320"/>
          </w:tcPr>
          <w:p>
            <w:r>
              <w:t>ADAS-V4D – Radar Fusion Steuergeraet (Level-2/3)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Mercedes-Benz Group AG; Stellantis N.V.</w:t>
            </w:r>
          </w:p>
        </w:tc>
      </w:tr>
      <w:tr>
        <w:tc>
          <w:tcPr>
            <w:tcW w:type="dxa" w:w="4320"/>
          </w:tcPr>
          <w:p>
            <w:r>
              <w:t>Plattform-Lebenszyklus</w:t>
            </w:r>
          </w:p>
        </w:tc>
        <w:tc>
          <w:tcPr>
            <w:tcW w:type="dxa" w:w="4320"/>
          </w:tcPr>
          <w:p>
            <w:r>
              <w:t>SOP 03/2022 – EOP geplant 12/2028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Dr.-Ing. Kerstin Roggner (QS-Engineering)</w:t>
            </w:r>
          </w:p>
        </w:tc>
      </w:tr>
      <w:tr>
        <w:tc>
          <w:tcPr>
            <w:tcW w:type="dxa" w:w="4320"/>
          </w:tcPr>
          <w:p>
            <w:r>
              <w:t>Genehmigt durch</w:t>
            </w:r>
          </w:p>
        </w:tc>
        <w:tc>
          <w:tcPr>
            <w:tcW w:type="dxa" w:w="4320"/>
          </w:tcPr>
          <w:p>
            <w:r>
              <w:t>Sabine Brand (Q-Leitung), Markus Henkel (Produktionsleiter)</w:t>
            </w:r>
          </w:p>
        </w:tc>
      </w:tr>
      <w:tr>
        <w:tc>
          <w:tcPr>
            <w:tcW w:type="dxa" w:w="4320"/>
          </w:tcPr>
          <w:p>
            <w:r>
              <w:t>Revisionsstand</w:t>
            </w:r>
          </w:p>
        </w:tc>
        <w:tc>
          <w:tcPr>
            <w:tcW w:type="dxa" w:w="4320"/>
          </w:tcPr>
          <w:p>
            <w:r>
              <w:t>4.2 (vorhergehend 4.1 vom 22.8.2022)</w:t>
            </w:r>
          </w:p>
        </w:tc>
      </w:tr>
      <w:tr>
        <w:tc>
          <w:tcPr>
            <w:tcW w:type="dxa" w:w="4320"/>
          </w:tcPr>
          <w:p>
            <w:r>
              <w:t>Naechstes Review</w:t>
            </w:r>
          </w:p>
        </w:tc>
        <w:tc>
          <w:tcPr>
            <w:tcW w:type="dxa" w:w="4320"/>
          </w:tcPr>
          <w:p>
            <w:r>
              <w:t>Q3 2023 (oder bei Aenderungsanforderung)</w:t>
            </w:r>
          </w:p>
        </w:tc>
      </w:tr>
    </w:tbl>
    <w:p>
      <w:pPr>
        <w:pStyle w:val="Heading3"/>
      </w:pPr>
      <w:r>
        <w:t>Prozess-Steuerungsplan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Spezifikation</w:t>
            </w:r>
          </w:p>
        </w:tc>
        <w:tc>
          <w:tcPr>
            <w:tcW w:type="dxa" w:w="1440"/>
          </w:tcPr>
          <w:p>
            <w:r>
              <w:t>Pruefmethode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Reaktionsplan</w:t>
            </w:r>
          </w:p>
        </w:tc>
      </w:tr>
      <w:tr>
        <w:tc>
          <w:tcPr>
            <w:tcW w:type="dxa" w:w="1440"/>
          </w:tcPr>
          <w:p>
            <w:r>
              <w:t>SMT-Bestueckung Linie 3</w:t>
            </w:r>
          </w:p>
        </w:tc>
        <w:tc>
          <w:tcPr>
            <w:tcW w:type="dxa" w:w="1440"/>
          </w:tcPr>
          <w:p>
            <w:r>
              <w:t>Pad-Offset</w:t>
            </w:r>
          </w:p>
        </w:tc>
        <w:tc>
          <w:tcPr>
            <w:tcW w:type="dxa" w:w="1440"/>
          </w:tcPr>
          <w:p>
            <w:r>
              <w:t>+/- 0,08 mm</w:t>
            </w:r>
          </w:p>
        </w:tc>
        <w:tc>
          <w:tcPr>
            <w:tcW w:type="dxa" w:w="1440"/>
          </w:tcPr>
          <w:p>
            <w:r>
              <w:t>AOI Yamaha YSi-V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Linie stoppen; Eskalation Produktionsleiter</w:t>
            </w:r>
          </w:p>
        </w:tc>
      </w:tr>
      <w:tr>
        <w:tc>
          <w:tcPr>
            <w:tcW w:type="dxa" w:w="1440"/>
          </w:tcPr>
          <w:p>
            <w:r>
              <w:t>Reflow-Loeten</w:t>
            </w:r>
          </w:p>
        </w:tc>
        <w:tc>
          <w:tcPr>
            <w:tcW w:type="dxa" w:w="1440"/>
          </w:tcPr>
          <w:p>
            <w:r>
              <w:t>Peak-Temperatur</w:t>
            </w:r>
          </w:p>
        </w:tc>
        <w:tc>
          <w:tcPr>
            <w:tcW w:type="dxa" w:w="1440"/>
          </w:tcPr>
          <w:p>
            <w:r>
              <w:t>245 +/- 5 °C</w:t>
            </w:r>
          </w:p>
        </w:tc>
        <w:tc>
          <w:tcPr>
            <w:tcW w:type="dxa" w:w="1440"/>
          </w:tcPr>
          <w:p>
            <w:r>
              <w:t>KIC Profiler 24/7</w:t>
            </w:r>
          </w:p>
        </w:tc>
        <w:tc>
          <w:tcPr>
            <w:tcW w:type="dxa" w:w="1440"/>
          </w:tcPr>
          <w:p>
            <w:r>
              <w:t>stuendlich</w:t>
            </w:r>
          </w:p>
        </w:tc>
        <w:tc>
          <w:tcPr>
            <w:tcW w:type="dxa" w:w="1440"/>
          </w:tcPr>
          <w:p>
            <w:r>
              <w:t>Profil-Anpassung; Sperrung Charge</w:t>
            </w:r>
          </w:p>
        </w:tc>
      </w:tr>
      <w:tr>
        <w:tc>
          <w:tcPr>
            <w:tcW w:type="dxa" w:w="1440"/>
          </w:tcPr>
          <w:p>
            <w:r>
              <w:t>AOI nach SMT</w:t>
            </w:r>
          </w:p>
        </w:tc>
        <w:tc>
          <w:tcPr>
            <w:tcW w:type="dxa" w:w="1440"/>
          </w:tcPr>
          <w:p>
            <w:r>
              <w:t>Pin-Lift, Polaritaet</w:t>
            </w:r>
          </w:p>
        </w:tc>
        <w:tc>
          <w:tcPr>
            <w:tcW w:type="dxa" w:w="1440"/>
          </w:tcPr>
          <w:p>
            <w:r>
              <w:t>0 Fehler</w:t>
            </w:r>
          </w:p>
        </w:tc>
        <w:tc>
          <w:tcPr>
            <w:tcW w:type="dxa" w:w="1440"/>
          </w:tcPr>
          <w:p>
            <w:r>
              <w:t>MIRTEC MV-7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Re-Work-Station; Sperrung Panel</w:t>
            </w:r>
          </w:p>
        </w:tc>
      </w:tr>
      <w:tr>
        <w:tc>
          <w:tcPr>
            <w:tcW w:type="dxa" w:w="1440"/>
          </w:tcPr>
          <w:p>
            <w:r>
              <w:t>ICT (Flying Probe)</w:t>
            </w:r>
          </w:p>
        </w:tc>
        <w:tc>
          <w:tcPr>
            <w:tcW w:type="dxa" w:w="1440"/>
          </w:tcPr>
          <w:p>
            <w:r>
              <w:t>Funktion Klemmen</w:t>
            </w:r>
          </w:p>
        </w:tc>
        <w:tc>
          <w:tcPr>
            <w:tcW w:type="dxa" w:w="1440"/>
          </w:tcPr>
          <w:p>
            <w:r>
              <w:t>100 % i.O.</w:t>
            </w:r>
          </w:p>
        </w:tc>
        <w:tc>
          <w:tcPr>
            <w:tcW w:type="dxa" w:w="1440"/>
          </w:tcPr>
          <w:p>
            <w:r>
              <w:t>Takaya APT-1400F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Re-Test; Funktionsdiagnose Engineering</w:t>
            </w:r>
          </w:p>
        </w:tc>
      </w:tr>
      <w:tr>
        <w:tc>
          <w:tcPr>
            <w:tcW w:type="dxa" w:w="1440"/>
          </w:tcPr>
          <w:p>
            <w:r>
              <w:t>FCT-EOL</w:t>
            </w:r>
          </w:p>
        </w:tc>
        <w:tc>
          <w:tcPr>
            <w:tcW w:type="dxa" w:w="1440"/>
          </w:tcPr>
          <w:p>
            <w:r>
              <w:t>CAN-Bus, FlexRay, Diagnostik</w:t>
            </w:r>
          </w:p>
        </w:tc>
        <w:tc>
          <w:tcPr>
            <w:tcW w:type="dxa" w:w="1440"/>
          </w:tcPr>
          <w:p>
            <w:r>
              <w:t>DTC-frei</w:t>
            </w:r>
          </w:p>
        </w:tc>
        <w:tc>
          <w:tcPr>
            <w:tcW w:type="dxa" w:w="1440"/>
          </w:tcPr>
          <w:p>
            <w:r>
              <w:t>Brennhagen Test-Stand FCT-RM-04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Re-Test; falls erneut NIO -&gt; Sperrung Endprodukt</w:t>
            </w:r>
          </w:p>
        </w:tc>
      </w:tr>
      <w:tr>
        <w:tc>
          <w:tcPr>
            <w:tcW w:type="dxa" w:w="1440"/>
          </w:tcPr>
          <w:p>
            <w:r>
              <w:t>EMV-Vorpruefung (CISPR 25)</w:t>
            </w:r>
          </w:p>
        </w:tc>
        <w:tc>
          <w:tcPr>
            <w:tcW w:type="dxa" w:w="1440"/>
          </w:tcPr>
          <w:p>
            <w:r>
              <w:t>Class 5 Limits</w:t>
            </w:r>
          </w:p>
        </w:tc>
        <w:tc>
          <w:tcPr>
            <w:tcW w:type="dxa" w:w="1440"/>
          </w:tcPr>
          <w:p>
            <w:r>
              <w:t>alle Frequenzen i.O.</w:t>
            </w:r>
          </w:p>
        </w:tc>
        <w:tc>
          <w:tcPr>
            <w:tcW w:type="dxa" w:w="1440"/>
          </w:tcPr>
          <w:p>
            <w:r>
              <w:t>Stichprobe Schaffner CDN, GTEM</w:t>
            </w:r>
          </w:p>
        </w:tc>
        <w:tc>
          <w:tcPr>
            <w:tcW w:type="dxa" w:w="1440"/>
          </w:tcPr>
          <w:p>
            <w:r>
              <w:t>1 pro Charge</w:t>
            </w:r>
          </w:p>
        </w:tc>
        <w:tc>
          <w:tcPr>
            <w:tcW w:type="dxa" w:w="1440"/>
          </w:tcPr>
          <w:p>
            <w:r>
              <w:t>Charge sperren; Engineering-Analyse</w:t>
            </w:r>
          </w:p>
        </w:tc>
      </w:tr>
      <w:tr>
        <w:tc>
          <w:tcPr>
            <w:tcW w:type="dxa" w:w="1440"/>
          </w:tcPr>
          <w:p>
            <w:r>
              <w:t>Verguss / Sealing</w:t>
            </w:r>
          </w:p>
        </w:tc>
        <w:tc>
          <w:tcPr>
            <w:tcW w:type="dxa" w:w="1440"/>
          </w:tcPr>
          <w:p>
            <w:r>
              <w:t>Dichtheit IP67</w:t>
            </w:r>
          </w:p>
        </w:tc>
        <w:tc>
          <w:tcPr>
            <w:tcW w:type="dxa" w:w="1440"/>
          </w:tcPr>
          <w:p>
            <w:r>
              <w:t>kein Bubble bei 0,8 bar</w:t>
            </w:r>
          </w:p>
        </w:tc>
        <w:tc>
          <w:tcPr>
            <w:tcW w:type="dxa" w:w="1440"/>
          </w:tcPr>
          <w:p>
            <w:r>
              <w:t>Helium-Lecksuche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Re-Sealing; max. 1 Iteration zulaessig</w:t>
            </w:r>
          </w:p>
        </w:tc>
      </w:tr>
    </w:tbl>
    <w:p>
      <w:pPr>
        <w:pStyle w:val="Heading3"/>
      </w:pPr>
      <w:r>
        <w:t>Weitere Festlegungen</w:t>
      </w:r>
    </w:p>
    <w:p>
      <w:r>
        <w:t>Lieferant Radar-MMIC: Infineon BGT24LTR12 (Stuttgart-Backnang); Lieferant Mikrocontroller: NXP S32R294 (D2). Spezielle Charakteristiken: Radar-Antennen-Charakterisierung bei Stichprobe 1:100 ueber Anechoic Chamber Heilbronn (KW 14 erweitert wegen Lieferanten-Wechsel). CSR Mercedes: zusaetzlich Burn-In-Pruefung 168h bei 85 °C / 95 % rF; CSR Stellantis: verstaerkte Korrosionspruefung Salzspruehnebel 480h gemaess ASTM B117.</w:t>
      </w:r>
    </w:p>
    <w:p>
      <w:pPr>
        <w:pStyle w:val="Heading3"/>
      </w:pPr>
      <w:r>
        <w:t>Aenderungs-Historie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01.04.2022</w:t>
            </w:r>
          </w:p>
        </w:tc>
        <w:tc>
          <w:tcPr>
            <w:tcW w:type="dxa" w:w="2160"/>
          </w:tcPr>
          <w:p>
            <w:r>
              <w:t>Initial-Freigabe nach PPAP zur SOP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22.08.2022</w:t>
            </w:r>
          </w:p>
        </w:tc>
        <w:tc>
          <w:tcPr>
            <w:tcW w:type="dxa" w:w="2160"/>
          </w:tcPr>
          <w:p>
            <w:r>
              <w:t>Erweiterung Pruefumfang EOL (CISPR 25)</w:t>
            </w:r>
          </w:p>
        </w:tc>
        <w:tc>
          <w:tcPr>
            <w:tcW w:type="dxa" w:w="2160"/>
          </w:tcPr>
          <w:p>
            <w:r>
              <w:t>S. Brand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14.02.2023</w:t>
            </w:r>
          </w:p>
        </w:tc>
        <w:tc>
          <w:tcPr>
            <w:tcW w:type="dxa" w:w="2160"/>
          </w:tcPr>
          <w:p>
            <w:r>
              <w:t>Anpassung Reaktionsplan; Update Lieferanten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</w:tbl>
    <w:p>
      <w:pPr>
        <w:pStyle w:val="Heading3"/>
      </w:pPr>
      <w:r>
        <w:t>Bemerkungen</w:t>
      </w:r>
    </w:p>
    <w:p>
      <w:r>
        <w:t>Aenderungen am Control Plan beduerfen Freigabe durch Q-Leitung Werk Heilbronn (Sabine Brand) sowie Information des OEM-Kunden (Q-Engineering Kontakt) gemaess Customer Specific Requirements (CSR). Bei Aenderungen am Produkt-Design ist ein PPAP-Re-Submission gemaess AIAG Level 3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