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Lenkungsplan (Control Plan) – BMS-12 Battery Management System (Hochvolt EV) – Werk Heilbronn</w:t>
      </w:r>
    </w:p>
    <w:p>
      <w:pPr>
        <w:jc w:val="center"/>
      </w:pPr>
      <w:r>
        <w:t>IATF 16949 Anhang A.5; Revisionsstand 4.2; Freigabe Q-Leitung 14.2.2023</w:t>
      </w:r>
    </w:p>
    <w:p/>
    <w:p>
      <w:pPr>
        <w:pStyle w:val="Heading3"/>
      </w:pPr>
      <w:r>
        <w:t>Geltungsbereich</w:t>
      </w:r>
    </w:p>
    <w:p>
      <w:r>
        <w:t>Dieser Control Plan regelt die Prozesslenkung fuer die Serienproduktion der Produktplattform BMS-12 (Battery Management System (Hochvolt EV)) im Werk Heilbronn der Brennhagen Elektronik GmbH. Hauptkunde: Volkswagen AG (ID.7); Hyundai Motor Company. Erstellt nach IATF 16949 Anhang A.5 (Production Control Plan); ergaenzend zu PFMEA Rev. 3.1 und APQP-Phase 5. Verteilung: Produktion, QS, Engineering, Werkleitung, OEM-Kunde (auf Anforderung; vertraulich).</w:t>
      </w:r>
    </w:p>
    <w:p>
      <w:pPr>
        <w:pStyle w:val="Heading3"/>
      </w:pPr>
      <w:r>
        <w:t>Allgemeine Angaben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Werk</w:t>
            </w:r>
          </w:p>
        </w:tc>
        <w:tc>
          <w:tcPr>
            <w:tcW w:type="dxa" w:w="4320"/>
          </w:tcPr>
          <w:p>
            <w:r>
              <w:t>Brennhagen Elektronik GmbH, Werk Heilbronn</w:t>
            </w:r>
          </w:p>
        </w:tc>
      </w:tr>
      <w:tr>
        <w:tc>
          <w:tcPr>
            <w:tcW w:type="dxa" w:w="4320"/>
          </w:tcPr>
          <w:p>
            <w:r>
              <w:t>Werksleitung</w:t>
            </w:r>
          </w:p>
        </w:tc>
        <w:tc>
          <w:tcPr>
            <w:tcW w:type="dxa" w:w="4320"/>
          </w:tcPr>
          <w:p>
            <w:r>
              <w:t>Andreas Maier (WL); Sabine Brand (Q-Leitung)</w:t>
            </w:r>
          </w:p>
        </w:tc>
      </w:tr>
      <w:tr>
        <w:tc>
          <w:tcPr>
            <w:tcW w:type="dxa" w:w="4320"/>
          </w:tcPr>
          <w:p>
            <w:r>
              <w:t>Produktfamilie</w:t>
            </w:r>
          </w:p>
        </w:tc>
        <w:tc>
          <w:tcPr>
            <w:tcW w:type="dxa" w:w="4320"/>
          </w:tcPr>
          <w:p>
            <w:r>
              <w:t>BMS-12 – Battery Management System (Hochvolt EV)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Volkswagen AG (ID.7); Hyundai Motor Company</w:t>
            </w:r>
          </w:p>
        </w:tc>
      </w:tr>
      <w:tr>
        <w:tc>
          <w:tcPr>
            <w:tcW w:type="dxa" w:w="4320"/>
          </w:tcPr>
          <w:p>
            <w:r>
              <w:t>Plattform-Lebenszyklus</w:t>
            </w:r>
          </w:p>
        </w:tc>
        <w:tc>
          <w:tcPr>
            <w:tcW w:type="dxa" w:w="4320"/>
          </w:tcPr>
          <w:p>
            <w:r>
              <w:t>SOP 03/2022 – EOP geplant 12/2028</w:t>
            </w:r>
          </w:p>
        </w:tc>
      </w:tr>
      <w:tr>
        <w:tc>
          <w:tcPr>
            <w:tcW w:type="dxa" w:w="4320"/>
          </w:tcPr>
          <w:p>
            <w:r>
              <w:t>Erstellt durch</w:t>
            </w:r>
          </w:p>
        </w:tc>
        <w:tc>
          <w:tcPr>
            <w:tcW w:type="dxa" w:w="4320"/>
          </w:tcPr>
          <w:p>
            <w:r>
              <w:t>Dr.-Ing. Kerstin Roggner (QS-Engineering)</w:t>
            </w:r>
          </w:p>
        </w:tc>
      </w:tr>
      <w:tr>
        <w:tc>
          <w:tcPr>
            <w:tcW w:type="dxa" w:w="4320"/>
          </w:tcPr>
          <w:p>
            <w:r>
              <w:t>Genehmigt durch</w:t>
            </w:r>
          </w:p>
        </w:tc>
        <w:tc>
          <w:tcPr>
            <w:tcW w:type="dxa" w:w="4320"/>
          </w:tcPr>
          <w:p>
            <w:r>
              <w:t>Sabine Brand (Q-Leitung), Markus Henkel (Produktionsleiter)</w:t>
            </w:r>
          </w:p>
        </w:tc>
      </w:tr>
      <w:tr>
        <w:tc>
          <w:tcPr>
            <w:tcW w:type="dxa" w:w="4320"/>
          </w:tcPr>
          <w:p>
            <w:r>
              <w:t>Revisionsstand</w:t>
            </w:r>
          </w:p>
        </w:tc>
        <w:tc>
          <w:tcPr>
            <w:tcW w:type="dxa" w:w="4320"/>
          </w:tcPr>
          <w:p>
            <w:r>
              <w:t>4.2 (vorhergehend 4.1 vom 22.8.2022)</w:t>
            </w:r>
          </w:p>
        </w:tc>
      </w:tr>
      <w:tr>
        <w:tc>
          <w:tcPr>
            <w:tcW w:type="dxa" w:w="4320"/>
          </w:tcPr>
          <w:p>
            <w:r>
              <w:t>Naechstes Review</w:t>
            </w:r>
          </w:p>
        </w:tc>
        <w:tc>
          <w:tcPr>
            <w:tcW w:type="dxa" w:w="4320"/>
          </w:tcPr>
          <w:p>
            <w:r>
              <w:t>Q3 2023 (oder bei Aenderungsanforderung)</w:t>
            </w:r>
          </w:p>
        </w:tc>
      </w:tr>
    </w:tbl>
    <w:p>
      <w:pPr>
        <w:pStyle w:val="Heading3"/>
      </w:pPr>
      <w:r>
        <w:t>Prozess-Steuerungsplan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Prozessschritt</w:t>
            </w:r>
          </w:p>
        </w:tc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Spezifikation</w:t>
            </w:r>
          </w:p>
        </w:tc>
        <w:tc>
          <w:tcPr>
            <w:tcW w:type="dxa" w:w="1440"/>
          </w:tcPr>
          <w:p>
            <w:r>
              <w:t>Pruefmethode</w:t>
            </w:r>
          </w:p>
        </w:tc>
        <w:tc>
          <w:tcPr>
            <w:tcW w:type="dxa" w:w="1440"/>
          </w:tcPr>
          <w:p>
            <w:r>
              <w:t>Frequenz</w:t>
            </w:r>
          </w:p>
        </w:tc>
        <w:tc>
          <w:tcPr>
            <w:tcW w:type="dxa" w:w="1440"/>
          </w:tcPr>
          <w:p>
            <w:r>
              <w:t>Reaktionsplan</w:t>
            </w:r>
          </w:p>
        </w:tc>
      </w:tr>
      <w:tr>
        <w:tc>
          <w:tcPr>
            <w:tcW w:type="dxa" w:w="1440"/>
          </w:tcPr>
          <w:p>
            <w:r>
              <w:t>SMT-Linie 1+2 (BMS-Master)</w:t>
            </w:r>
          </w:p>
        </w:tc>
        <w:tc>
          <w:tcPr>
            <w:tcW w:type="dxa" w:w="1440"/>
          </w:tcPr>
          <w:p>
            <w:r>
              <w:t>Loetstellen-Qualitaet</w:t>
            </w:r>
          </w:p>
        </w:tc>
        <w:tc>
          <w:tcPr>
            <w:tcW w:type="dxa" w:w="1440"/>
          </w:tcPr>
          <w:p>
            <w:r>
              <w:t>IPC-A-610 Class 3</w:t>
            </w:r>
          </w:p>
        </w:tc>
        <w:tc>
          <w:tcPr>
            <w:tcW w:type="dxa" w:w="1440"/>
          </w:tcPr>
          <w:p>
            <w:r>
              <w:t>AOI Mirtec MV-7L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Re-Work; SMT-Profil-Review</w:t>
            </w:r>
          </w:p>
        </w:tc>
      </w:tr>
      <w:tr>
        <w:tc>
          <w:tcPr>
            <w:tcW w:type="dxa" w:w="1440"/>
          </w:tcPr>
          <w:p>
            <w:r>
              <w:t>SMT-Linie 5 (Cell-Module)</w:t>
            </w:r>
          </w:p>
        </w:tc>
        <w:tc>
          <w:tcPr>
            <w:tcW w:type="dxa" w:w="1440"/>
          </w:tcPr>
          <w:p>
            <w:r>
              <w:t>Pad-Position Sense-Pins</w:t>
            </w:r>
          </w:p>
        </w:tc>
        <w:tc>
          <w:tcPr>
            <w:tcW w:type="dxa" w:w="1440"/>
          </w:tcPr>
          <w:p>
            <w:r>
              <w:t>+/- 0,06 mm</w:t>
            </w:r>
          </w:p>
        </w:tc>
        <w:tc>
          <w:tcPr>
            <w:tcW w:type="dxa" w:w="1440"/>
          </w:tcPr>
          <w:p>
            <w:r>
              <w:t>AOI + 3D-SPI Koh Young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Sperrung Panel</w:t>
            </w:r>
          </w:p>
        </w:tc>
      </w:tr>
      <w:tr>
        <w:tc>
          <w:tcPr>
            <w:tcW w:type="dxa" w:w="1440"/>
          </w:tcPr>
          <w:p>
            <w:r>
              <w:t>Isolations-Pruefung HV</w:t>
            </w:r>
          </w:p>
        </w:tc>
        <w:tc>
          <w:tcPr>
            <w:tcW w:type="dxa" w:w="1440"/>
          </w:tcPr>
          <w:p>
            <w:r>
              <w:t>Iso-Widerstand</w:t>
            </w:r>
          </w:p>
        </w:tc>
        <w:tc>
          <w:tcPr>
            <w:tcW w:type="dxa" w:w="1440"/>
          </w:tcPr>
          <w:p>
            <w:r>
              <w:t>&gt;= 100 MOhm @ 1000 V DC</w:t>
            </w:r>
          </w:p>
        </w:tc>
        <w:tc>
          <w:tcPr>
            <w:tcW w:type="dxa" w:w="1440"/>
          </w:tcPr>
          <w:p>
            <w:r>
              <w:t>MEGGER MIT525-T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Linien-Stop; Eskalation HV-Sicherheits-Officer</w:t>
            </w:r>
          </w:p>
        </w:tc>
      </w:tr>
      <w:tr>
        <w:tc>
          <w:tcPr>
            <w:tcW w:type="dxa" w:w="1440"/>
          </w:tcPr>
          <w:p>
            <w:r>
              <w:t>Cell-Balancing Funktionstest</w:t>
            </w:r>
          </w:p>
        </w:tc>
        <w:tc>
          <w:tcPr>
            <w:tcW w:type="dxa" w:w="1440"/>
          </w:tcPr>
          <w:p>
            <w:r>
              <w:t>Spannungsabgleich</w:t>
            </w:r>
          </w:p>
        </w:tc>
        <w:tc>
          <w:tcPr>
            <w:tcW w:type="dxa" w:w="1440"/>
          </w:tcPr>
          <w:p>
            <w:r>
              <w:t>Delta-U &lt; 5 mV</w:t>
            </w:r>
          </w:p>
        </w:tc>
        <w:tc>
          <w:tcPr>
            <w:tcW w:type="dxa" w:w="1440"/>
          </w:tcPr>
          <w:p>
            <w:r>
              <w:t>Brennhagen BMS-Tester Type BT-12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Re-Programmierung; ggf. Sperrung</w:t>
            </w:r>
          </w:p>
        </w:tc>
      </w:tr>
      <w:tr>
        <w:tc>
          <w:tcPr>
            <w:tcW w:type="dxa" w:w="1440"/>
          </w:tcPr>
          <w:p>
            <w:r>
              <w:t>CAN-FD-Diagnose</w:t>
            </w:r>
          </w:p>
        </w:tc>
        <w:tc>
          <w:tcPr>
            <w:tcW w:type="dxa" w:w="1440"/>
          </w:tcPr>
          <w:p>
            <w:r>
              <w:t>DBC-Konformitaet</w:t>
            </w:r>
          </w:p>
        </w:tc>
        <w:tc>
          <w:tcPr>
            <w:tcW w:type="dxa" w:w="1440"/>
          </w:tcPr>
          <w:p>
            <w:r>
              <w:t>alle Botschaften</w:t>
            </w:r>
          </w:p>
        </w:tc>
        <w:tc>
          <w:tcPr>
            <w:tcW w:type="dxa" w:w="1440"/>
          </w:tcPr>
          <w:p>
            <w:r>
              <w:t>Vector CANalyzer V18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Re-Flash; Funktionsdiagnose</w:t>
            </w:r>
          </w:p>
        </w:tc>
      </w:tr>
      <w:tr>
        <w:tc>
          <w:tcPr>
            <w:tcW w:type="dxa" w:w="1440"/>
          </w:tcPr>
          <w:p>
            <w:r>
              <w:t>EOL-Aging-Test</w:t>
            </w:r>
          </w:p>
        </w:tc>
        <w:tc>
          <w:tcPr>
            <w:tcW w:type="dxa" w:w="1440"/>
          </w:tcPr>
          <w:p>
            <w:r>
              <w:t>Stress 30 min @ Tmax</w:t>
            </w:r>
          </w:p>
        </w:tc>
        <w:tc>
          <w:tcPr>
            <w:tcW w:type="dxa" w:w="1440"/>
          </w:tcPr>
          <w:p>
            <w:r>
              <w:t>kein Drift &gt; 2 %</w:t>
            </w:r>
          </w:p>
        </w:tc>
        <w:tc>
          <w:tcPr>
            <w:tcW w:type="dxa" w:w="1440"/>
          </w:tcPr>
          <w:p>
            <w:r>
              <w:t>Brennhagen Klimakammer KK-04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Sperrung Endprodukt</w:t>
            </w:r>
          </w:p>
        </w:tc>
      </w:tr>
      <w:tr>
        <w:tc>
          <w:tcPr>
            <w:tcW w:type="dxa" w:w="1440"/>
          </w:tcPr>
          <w:p>
            <w:r>
              <w:t>IP67-Dichtheit</w:t>
            </w:r>
          </w:p>
        </w:tc>
        <w:tc>
          <w:tcPr>
            <w:tcW w:type="dxa" w:w="1440"/>
          </w:tcPr>
          <w:p>
            <w:r>
              <w:t>Druckabfall</w:t>
            </w:r>
          </w:p>
        </w:tc>
        <w:tc>
          <w:tcPr>
            <w:tcW w:type="dxa" w:w="1440"/>
          </w:tcPr>
          <w:p>
            <w:r>
              <w:t>&lt; 50 mbar / 60 s</w:t>
            </w:r>
          </w:p>
        </w:tc>
        <w:tc>
          <w:tcPr>
            <w:tcW w:type="dxa" w:w="1440"/>
          </w:tcPr>
          <w:p>
            <w:r>
              <w:t>Sciemetric BlackBelt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Re-Sealing</w:t>
            </w:r>
          </w:p>
        </w:tc>
      </w:tr>
    </w:tbl>
    <w:p>
      <w:pPr>
        <w:pStyle w:val="Heading3"/>
      </w:pPr>
      <w:r>
        <w:t>Weitere Festlegungen</w:t>
      </w:r>
    </w:p>
    <w:p>
      <w:r>
        <w:t>CSR VW (Formel-Q Capability 3.0): erweitertes Reporting Cpk pro KW; ESD-Massnahmen verschaerft (Class 0). CSR Hyundai (HMC SQ): zusaetzlich Vibrationspruefung (ISO 16750-3 Profil 5) bei Stichprobe 1:200. HV-Sicherheit: Bedienung der HV-Pruefplatze ausschliesslich durch geschulte Elektrofachkraefte (EUP-zertifiziert).</w:t>
      </w:r>
    </w:p>
    <w:p>
      <w:pPr>
        <w:pStyle w:val="Heading3"/>
      </w:pPr>
      <w:r>
        <w:t>Aenderungs-Historie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</w:tr>
      <w:tr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01.04.2022</w:t>
            </w:r>
          </w:p>
        </w:tc>
        <w:tc>
          <w:tcPr>
            <w:tcW w:type="dxa" w:w="2160"/>
          </w:tcPr>
          <w:p>
            <w:r>
              <w:t>Initial-Freigabe nach PPAP zur SOP</w:t>
            </w:r>
          </w:p>
        </w:tc>
        <w:tc>
          <w:tcPr>
            <w:tcW w:type="dxa" w:w="2160"/>
          </w:tcPr>
          <w:p>
            <w:r>
              <w:t>K. Roggner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22.08.2022</w:t>
            </w:r>
          </w:p>
        </w:tc>
        <w:tc>
          <w:tcPr>
            <w:tcW w:type="dxa" w:w="2160"/>
          </w:tcPr>
          <w:p>
            <w:r>
              <w:t>Erweiterung Pruefumfang EOL (CISPR 25)</w:t>
            </w:r>
          </w:p>
        </w:tc>
        <w:tc>
          <w:tcPr>
            <w:tcW w:type="dxa" w:w="2160"/>
          </w:tcPr>
          <w:p>
            <w:r>
              <w:t>S. Brand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14.02.2023</w:t>
            </w:r>
          </w:p>
        </w:tc>
        <w:tc>
          <w:tcPr>
            <w:tcW w:type="dxa" w:w="2160"/>
          </w:tcPr>
          <w:p>
            <w:r>
              <w:t>Anpassung Reaktionsplan; Update Lieferanten</w:t>
            </w:r>
          </w:p>
        </w:tc>
        <w:tc>
          <w:tcPr>
            <w:tcW w:type="dxa" w:w="2160"/>
          </w:tcPr>
          <w:p>
            <w:r>
              <w:t>K. Roggner</w:t>
            </w:r>
          </w:p>
        </w:tc>
      </w:tr>
    </w:tbl>
    <w:p>
      <w:pPr>
        <w:pStyle w:val="Heading3"/>
      </w:pPr>
      <w:r>
        <w:t>Bemerkungen</w:t>
      </w:r>
    </w:p>
    <w:p>
      <w:r>
        <w:t>Aenderungen am Control Plan beduerfen Freigabe durch Q-Leitung Werk Heilbronn (Sabine Brand) sowie Information des OEM-Kunden (Q-Engineering Kontakt) gemaess Customer Specific Requirements (CSR). Bei Aenderungen am Produkt-Design ist ein PPAP-Re-Submission gemaess AIAG Level 3 erforderlich.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