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Lenkungsplan (Control Plan) – ECU-900 Powertrain-ECU Gen3 – Werk Heilbronn</w:t>
      </w:r>
    </w:p>
    <w:p>
      <w:pPr>
        <w:jc w:val="center"/>
      </w:pPr>
      <w:r>
        <w:t>IATF 16949 Anhang A.5; Revisionsstand 4.2; Freigabe Q-Leitung 14.2.2023</w:t>
      </w:r>
    </w:p>
    <w:p/>
    <w:p>
      <w:pPr>
        <w:pStyle w:val="Heading3"/>
      </w:pPr>
      <w:r>
        <w:t>Geltungsbereich</w:t>
      </w:r>
    </w:p>
    <w:p>
      <w:r>
        <w:t>Dieser Control Plan regelt die Prozesslenkung fuer die Serienproduktion der Produktplattform ECU-900 (Powertrain-ECU Gen3) im Werk Heilbronn der Brennhagen Elektronik GmbH. Hauptkunde: Volkswagen AG (MEB+ / MQB-Evo); Stellantis N.V.. Erstellt nach IATF 16949 Anhang A.5 (Production Control Plan); ergaenzend zu PFMEA Rev. 3.1 und APQP-Phase 5. Verteilung: Produktion, QS, Engineering, Werkleitung, OEM-Kunde (auf Anforderung; vertraulich).</w:t>
      </w:r>
    </w:p>
    <w:p>
      <w:pPr>
        <w:pStyle w:val="Heading3"/>
      </w:pPr>
      <w:r>
        <w:t>Allgemeine Angaben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Werk</w:t>
            </w:r>
          </w:p>
        </w:tc>
        <w:tc>
          <w:tcPr>
            <w:tcW w:type="dxa" w:w="4320"/>
          </w:tcPr>
          <w:p>
            <w:r>
              <w:t>Brennhagen Elektronik GmbH, Werk Heilbronn</w:t>
            </w:r>
          </w:p>
        </w:tc>
      </w:tr>
      <w:tr>
        <w:tc>
          <w:tcPr>
            <w:tcW w:type="dxa" w:w="4320"/>
          </w:tcPr>
          <w:p>
            <w:r>
              <w:t>Werksleitung</w:t>
            </w:r>
          </w:p>
        </w:tc>
        <w:tc>
          <w:tcPr>
            <w:tcW w:type="dxa" w:w="4320"/>
          </w:tcPr>
          <w:p>
            <w:r>
              <w:t>Andreas Maier (WL); Sabine Brand (Q-Leitung)</w:t>
            </w:r>
          </w:p>
        </w:tc>
      </w:tr>
      <w:tr>
        <w:tc>
          <w:tcPr>
            <w:tcW w:type="dxa" w:w="4320"/>
          </w:tcPr>
          <w:p>
            <w:r>
              <w:t>Produktfamilie</w:t>
            </w:r>
          </w:p>
        </w:tc>
        <w:tc>
          <w:tcPr>
            <w:tcW w:type="dxa" w:w="4320"/>
          </w:tcPr>
          <w:p>
            <w:r>
              <w:t>ECU-900 – Powertrain-ECU Gen3</w:t>
            </w:r>
          </w:p>
        </w:tc>
      </w:tr>
      <w:tr>
        <w:tc>
          <w:tcPr>
            <w:tcW w:type="dxa" w:w="4320"/>
          </w:tcPr>
          <w:p>
            <w:r>
              <w:t>Kunde / OEM</w:t>
            </w:r>
          </w:p>
        </w:tc>
        <w:tc>
          <w:tcPr>
            <w:tcW w:type="dxa" w:w="4320"/>
          </w:tcPr>
          <w:p>
            <w:r>
              <w:t>Volkswagen AG (MEB+ / MQB-Evo); Stellantis N.V.</w:t>
            </w:r>
          </w:p>
        </w:tc>
      </w:tr>
      <w:tr>
        <w:tc>
          <w:tcPr>
            <w:tcW w:type="dxa" w:w="4320"/>
          </w:tcPr>
          <w:p>
            <w:r>
              <w:t>Plattform-Lebenszyklus</w:t>
            </w:r>
          </w:p>
        </w:tc>
        <w:tc>
          <w:tcPr>
            <w:tcW w:type="dxa" w:w="4320"/>
          </w:tcPr>
          <w:p>
            <w:r>
              <w:t>SOP 03/2022 – EOP geplant 12/2028</w:t>
            </w:r>
          </w:p>
        </w:tc>
      </w:tr>
      <w:tr>
        <w:tc>
          <w:tcPr>
            <w:tcW w:type="dxa" w:w="4320"/>
          </w:tcPr>
          <w:p>
            <w:r>
              <w:t>Erstellt durch</w:t>
            </w:r>
          </w:p>
        </w:tc>
        <w:tc>
          <w:tcPr>
            <w:tcW w:type="dxa" w:w="4320"/>
          </w:tcPr>
          <w:p>
            <w:r>
              <w:t>Dr.-Ing. Kerstin Roggner (QS-Engineering)</w:t>
            </w:r>
          </w:p>
        </w:tc>
      </w:tr>
      <w:tr>
        <w:tc>
          <w:tcPr>
            <w:tcW w:type="dxa" w:w="4320"/>
          </w:tcPr>
          <w:p>
            <w:r>
              <w:t>Genehmigt durch</w:t>
            </w:r>
          </w:p>
        </w:tc>
        <w:tc>
          <w:tcPr>
            <w:tcW w:type="dxa" w:w="4320"/>
          </w:tcPr>
          <w:p>
            <w:r>
              <w:t>Sabine Brand (Q-Leitung), Markus Henkel (Produktionsleiter)</w:t>
            </w:r>
          </w:p>
        </w:tc>
      </w:tr>
      <w:tr>
        <w:tc>
          <w:tcPr>
            <w:tcW w:type="dxa" w:w="4320"/>
          </w:tcPr>
          <w:p>
            <w:r>
              <w:t>Revisionsstand</w:t>
            </w:r>
          </w:p>
        </w:tc>
        <w:tc>
          <w:tcPr>
            <w:tcW w:type="dxa" w:w="4320"/>
          </w:tcPr>
          <w:p>
            <w:r>
              <w:t>4.2 (vorhergehend 4.1 vom 22.8.2022)</w:t>
            </w:r>
          </w:p>
        </w:tc>
      </w:tr>
      <w:tr>
        <w:tc>
          <w:tcPr>
            <w:tcW w:type="dxa" w:w="4320"/>
          </w:tcPr>
          <w:p>
            <w:r>
              <w:t>Naechstes Review</w:t>
            </w:r>
          </w:p>
        </w:tc>
        <w:tc>
          <w:tcPr>
            <w:tcW w:type="dxa" w:w="4320"/>
          </w:tcPr>
          <w:p>
            <w:r>
              <w:t>Q3 2023 (oder bei Aenderungsanforderung)</w:t>
            </w:r>
          </w:p>
        </w:tc>
      </w:tr>
    </w:tbl>
    <w:p>
      <w:pPr>
        <w:pStyle w:val="Heading3"/>
      </w:pPr>
      <w:r>
        <w:t>Prozess-Steuerungsplan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Prozessschritt</w:t>
            </w:r>
          </w:p>
        </w:tc>
        <w:tc>
          <w:tcPr>
            <w:tcW w:type="dxa" w:w="1440"/>
          </w:tcPr>
          <w:p>
            <w:r>
              <w:t>Merkmal</w:t>
            </w:r>
          </w:p>
        </w:tc>
        <w:tc>
          <w:tcPr>
            <w:tcW w:type="dxa" w:w="1440"/>
          </w:tcPr>
          <w:p>
            <w:r>
              <w:t>Spezifikation</w:t>
            </w:r>
          </w:p>
        </w:tc>
        <w:tc>
          <w:tcPr>
            <w:tcW w:type="dxa" w:w="1440"/>
          </w:tcPr>
          <w:p>
            <w:r>
              <w:t>Pruefmethode</w:t>
            </w:r>
          </w:p>
        </w:tc>
        <w:tc>
          <w:tcPr>
            <w:tcW w:type="dxa" w:w="1440"/>
          </w:tcPr>
          <w:p>
            <w:r>
              <w:t>Frequenz</w:t>
            </w:r>
          </w:p>
        </w:tc>
        <w:tc>
          <w:tcPr>
            <w:tcW w:type="dxa" w:w="1440"/>
          </w:tcPr>
          <w:p>
            <w:r>
              <w:t>Reaktionsplan</w:t>
            </w:r>
          </w:p>
        </w:tc>
      </w:tr>
      <w:tr>
        <w:tc>
          <w:tcPr>
            <w:tcW w:type="dxa" w:w="1440"/>
          </w:tcPr>
          <w:p>
            <w:r>
              <w:t>SMT-Linie 4</w:t>
            </w:r>
          </w:p>
        </w:tc>
        <w:tc>
          <w:tcPr>
            <w:tcW w:type="dxa" w:w="1440"/>
          </w:tcPr>
          <w:p>
            <w:r>
              <w:t>Komponenten-Position</w:t>
            </w:r>
          </w:p>
        </w:tc>
        <w:tc>
          <w:tcPr>
            <w:tcW w:type="dxa" w:w="1440"/>
          </w:tcPr>
          <w:p>
            <w:r>
              <w:t>IPC-A-610 Class 2</w:t>
            </w:r>
          </w:p>
        </w:tc>
        <w:tc>
          <w:tcPr>
            <w:tcW w:type="dxa" w:w="1440"/>
          </w:tcPr>
          <w:p>
            <w:r>
              <w:t>AOI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Re-Work</w:t>
            </w:r>
          </w:p>
        </w:tc>
      </w:tr>
      <w:tr>
        <w:tc>
          <w:tcPr>
            <w:tcW w:type="dxa" w:w="1440"/>
          </w:tcPr>
          <w:p>
            <w:r>
              <w:t>Reflow-Loeten</w:t>
            </w:r>
          </w:p>
        </w:tc>
        <w:tc>
          <w:tcPr>
            <w:tcW w:type="dxa" w:w="1440"/>
          </w:tcPr>
          <w:p>
            <w:r>
              <w:t>Peak-Temperatur</w:t>
            </w:r>
          </w:p>
        </w:tc>
        <w:tc>
          <w:tcPr>
            <w:tcW w:type="dxa" w:w="1440"/>
          </w:tcPr>
          <w:p>
            <w:r>
              <w:t>240 +/- 5 °C</w:t>
            </w:r>
          </w:p>
        </w:tc>
        <w:tc>
          <w:tcPr>
            <w:tcW w:type="dxa" w:w="1440"/>
          </w:tcPr>
          <w:p>
            <w:r>
              <w:t>KIC Profiler</w:t>
            </w:r>
          </w:p>
        </w:tc>
        <w:tc>
          <w:tcPr>
            <w:tcW w:type="dxa" w:w="1440"/>
          </w:tcPr>
          <w:p>
            <w:r>
              <w:t>stuendlich</w:t>
            </w:r>
          </w:p>
        </w:tc>
        <w:tc>
          <w:tcPr>
            <w:tcW w:type="dxa" w:w="1440"/>
          </w:tcPr>
          <w:p>
            <w:r>
              <w:t>Profil-Anpassung</w:t>
            </w:r>
          </w:p>
        </w:tc>
      </w:tr>
      <w:tr>
        <w:tc>
          <w:tcPr>
            <w:tcW w:type="dxa" w:w="1440"/>
          </w:tcPr>
          <w:p>
            <w:r>
              <w:t>ICT Inline</w:t>
            </w:r>
          </w:p>
        </w:tc>
        <w:tc>
          <w:tcPr>
            <w:tcW w:type="dxa" w:w="1440"/>
          </w:tcPr>
          <w:p>
            <w:r>
              <w:t>Bauteil-Wert / Funktion</w:t>
            </w:r>
          </w:p>
        </w:tc>
        <w:tc>
          <w:tcPr>
            <w:tcW w:type="dxa" w:w="1440"/>
          </w:tcPr>
          <w:p>
            <w:r>
              <w:t>100 % i.O.</w:t>
            </w:r>
          </w:p>
        </w:tc>
        <w:tc>
          <w:tcPr>
            <w:tcW w:type="dxa" w:w="1440"/>
          </w:tcPr>
          <w:p>
            <w:r>
              <w:t>Genrad GR228x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Re-Work; Sperrung</w:t>
            </w:r>
          </w:p>
        </w:tc>
      </w:tr>
      <w:tr>
        <w:tc>
          <w:tcPr>
            <w:tcW w:type="dxa" w:w="1440"/>
          </w:tcPr>
          <w:p>
            <w:r>
              <w:t>Flash-Programmierung</w:t>
            </w:r>
          </w:p>
        </w:tc>
        <w:tc>
          <w:tcPr>
            <w:tcW w:type="dxa" w:w="1440"/>
          </w:tcPr>
          <w:p>
            <w:r>
              <w:t>Software-Stand</w:t>
            </w:r>
          </w:p>
        </w:tc>
        <w:tc>
          <w:tcPr>
            <w:tcW w:type="dxa" w:w="1440"/>
          </w:tcPr>
          <w:p>
            <w:r>
              <w:t>SW V3.4.2 fuer MEB+</w:t>
            </w:r>
          </w:p>
        </w:tc>
        <w:tc>
          <w:tcPr>
            <w:tcW w:type="dxa" w:w="1440"/>
          </w:tcPr>
          <w:p>
            <w:r>
              <w:t>Brennhagen Flash-Stand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Re-Flash; max. 3 Iterationen</w:t>
            </w:r>
          </w:p>
        </w:tc>
      </w:tr>
      <w:tr>
        <w:tc>
          <w:tcPr>
            <w:tcW w:type="dxa" w:w="1440"/>
          </w:tcPr>
          <w:p>
            <w:r>
              <w:t>FCT-EOL</w:t>
            </w:r>
          </w:p>
        </w:tc>
        <w:tc>
          <w:tcPr>
            <w:tcW w:type="dxa" w:w="1440"/>
          </w:tcPr>
          <w:p>
            <w:r>
              <w:t>Diagnose UDS</w:t>
            </w:r>
          </w:p>
        </w:tc>
        <w:tc>
          <w:tcPr>
            <w:tcW w:type="dxa" w:w="1440"/>
          </w:tcPr>
          <w:p>
            <w:r>
              <w:t>0 DTC</w:t>
            </w:r>
          </w:p>
        </w:tc>
        <w:tc>
          <w:tcPr>
            <w:tcW w:type="dxa" w:w="1440"/>
          </w:tcPr>
          <w:p>
            <w:r>
              <w:t>Vector CANoe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Diagnose-Analyse</w:t>
            </w:r>
          </w:p>
        </w:tc>
      </w:tr>
      <w:tr>
        <w:tc>
          <w:tcPr>
            <w:tcW w:type="dxa" w:w="1440"/>
          </w:tcPr>
          <w:p>
            <w:r>
              <w:t>Klimatest Stichprobe</w:t>
            </w:r>
          </w:p>
        </w:tc>
        <w:tc>
          <w:tcPr>
            <w:tcW w:type="dxa" w:w="1440"/>
          </w:tcPr>
          <w:p>
            <w:r>
              <w:t>Funktion @ -40/+105 °C</w:t>
            </w:r>
          </w:p>
        </w:tc>
        <w:tc>
          <w:tcPr>
            <w:tcW w:type="dxa" w:w="1440"/>
          </w:tcPr>
          <w:p>
            <w:r>
              <w:t>100 % i.O.</w:t>
            </w:r>
          </w:p>
        </w:tc>
        <w:tc>
          <w:tcPr>
            <w:tcW w:type="dxa" w:w="1440"/>
          </w:tcPr>
          <w:p>
            <w:r>
              <w:t>Brennhagen KK-02</w:t>
            </w:r>
          </w:p>
        </w:tc>
        <w:tc>
          <w:tcPr>
            <w:tcW w:type="dxa" w:w="1440"/>
          </w:tcPr>
          <w:p>
            <w:r>
              <w:t>1:500</w:t>
            </w:r>
          </w:p>
        </w:tc>
        <w:tc>
          <w:tcPr>
            <w:tcW w:type="dxa" w:w="1440"/>
          </w:tcPr>
          <w:p>
            <w:r>
              <w:t>Charge sperren</w:t>
            </w:r>
          </w:p>
        </w:tc>
      </w:tr>
    </w:tbl>
    <w:p>
      <w:pPr>
        <w:pStyle w:val="Heading3"/>
      </w:pPr>
      <w:r>
        <w:t>Weitere Festlegungen</w:t>
      </w:r>
    </w:p>
    <w:p>
      <w:r>
        <w:t>Stellantis MEB+ Variante mit zusaetzlichem PSI5-Interface (Druck-Sensoren). Lieferant PowerSemi: Infineon TC397XT (TriCore Aurix 32-bit). Sicherheits-Anforderung ISO 26262 ASIL-D fuer Powertrain-Domain. CSR Stellantis: vollstaendige Traceability pro Charge ueber DataMatrix-Code auf Gehaeuse; CSR VW: WPK-Auswertung MSA 4 monatlich.</w:t>
      </w:r>
    </w:p>
    <w:p>
      <w:pPr>
        <w:pStyle w:val="Heading3"/>
      </w:pPr>
      <w:r>
        <w:t>Aenderungs-Historie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</w:tr>
      <w:tr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01.04.2022</w:t>
            </w:r>
          </w:p>
        </w:tc>
        <w:tc>
          <w:tcPr>
            <w:tcW w:type="dxa" w:w="2160"/>
          </w:tcPr>
          <w:p>
            <w:r>
              <w:t>Initial-Freigabe nach PPAP zur SOP</w:t>
            </w:r>
          </w:p>
        </w:tc>
        <w:tc>
          <w:tcPr>
            <w:tcW w:type="dxa" w:w="2160"/>
          </w:tcPr>
          <w:p>
            <w:r>
              <w:t>K. Roggner</w:t>
            </w:r>
          </w:p>
        </w:tc>
      </w:tr>
      <w:tr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22.08.2022</w:t>
            </w:r>
          </w:p>
        </w:tc>
        <w:tc>
          <w:tcPr>
            <w:tcW w:type="dxa" w:w="2160"/>
          </w:tcPr>
          <w:p>
            <w:r>
              <w:t>Erweiterung Pruefumfang EOL (CISPR 25)</w:t>
            </w:r>
          </w:p>
        </w:tc>
        <w:tc>
          <w:tcPr>
            <w:tcW w:type="dxa" w:w="2160"/>
          </w:tcPr>
          <w:p>
            <w:r>
              <w:t>S. Brand</w:t>
            </w:r>
          </w:p>
        </w:tc>
      </w:tr>
      <w:tr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14.02.2023</w:t>
            </w:r>
          </w:p>
        </w:tc>
        <w:tc>
          <w:tcPr>
            <w:tcW w:type="dxa" w:w="2160"/>
          </w:tcPr>
          <w:p>
            <w:r>
              <w:t>Anpassung Reaktionsplan; Update Lieferanten</w:t>
            </w:r>
          </w:p>
        </w:tc>
        <w:tc>
          <w:tcPr>
            <w:tcW w:type="dxa" w:w="2160"/>
          </w:tcPr>
          <w:p>
            <w:r>
              <w:t>K. Roggner</w:t>
            </w:r>
          </w:p>
        </w:tc>
      </w:tr>
    </w:tbl>
    <w:p>
      <w:pPr>
        <w:pStyle w:val="Heading3"/>
      </w:pPr>
      <w:r>
        <w:t>Bemerkungen</w:t>
      </w:r>
    </w:p>
    <w:p>
      <w:r>
        <w:t>Aenderungen am Control Plan beduerfen Freigabe durch Q-Leitung Werk Heilbronn (Sabine Brand) sowie Information des OEM-Kunden (Q-Engineering Kontakt) gemaess Customer Specific Requirements (CSR). Bei Aenderungen am Produkt-Design ist ein PPAP-Re-Submission gemaess AIAG Level 3 erforderlich.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