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Lenkungsplan (Control Plan) – ICP-3 InfoConnect Pro – Infotainment-Hauptrechner – Werk Heilbronn</w:t>
      </w:r>
    </w:p>
    <w:p>
      <w:pPr>
        <w:jc w:val="center"/>
      </w:pPr>
      <w:r>
        <w:t>IATF 16949 Anhang A.5; Revisionsstand 4.2; Freigabe Q-Leitung 14.2.2023</w:t>
      </w:r>
    </w:p>
    <w:p/>
    <w:p>
      <w:pPr>
        <w:pStyle w:val="Heading3"/>
      </w:pPr>
      <w:r>
        <w:t>Geltungsbereich</w:t>
      </w:r>
    </w:p>
    <w:p>
      <w:r>
        <w:t>Dieser Control Plan regelt die Prozesslenkung fuer die Serienproduktion der Produktplattform ICP-3 (InfoConnect Pro – Infotainment-Hauptrechner) im Werk Heilbronn der Brennhagen Elektronik GmbH. Hauptkunde: BMW Group; Mercedes-Benz Group AG. Erstellt nach IATF 16949 Anhang A.5 (Production Control Plan); ergaenzend zu PFMEA Rev. 3.1 und APQP-Phase 5. Verteilung: Produktion, QS, Engineering, Werkleitung, OEM-Kunde (auf Anforderung; vertraulich).</w:t>
      </w:r>
    </w:p>
    <w:p>
      <w:pPr>
        <w:pStyle w:val="Heading3"/>
      </w:pPr>
      <w:r>
        <w:t>Allgemeine Angaben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Werk</w:t>
            </w:r>
          </w:p>
        </w:tc>
        <w:tc>
          <w:tcPr>
            <w:tcW w:type="dxa" w:w="4320"/>
          </w:tcPr>
          <w:p>
            <w:r>
              <w:t>Brennhagen Elektronik GmbH, Werk Heilbronn</w:t>
            </w:r>
          </w:p>
        </w:tc>
      </w:tr>
      <w:tr>
        <w:tc>
          <w:tcPr>
            <w:tcW w:type="dxa" w:w="4320"/>
          </w:tcPr>
          <w:p>
            <w:r>
              <w:t>Werksleitung</w:t>
            </w:r>
          </w:p>
        </w:tc>
        <w:tc>
          <w:tcPr>
            <w:tcW w:type="dxa" w:w="4320"/>
          </w:tcPr>
          <w:p>
            <w:r>
              <w:t>Andreas Maier (WL); Sabine Brand (Q-Leitung)</w:t>
            </w:r>
          </w:p>
        </w:tc>
      </w:tr>
      <w:tr>
        <w:tc>
          <w:tcPr>
            <w:tcW w:type="dxa" w:w="4320"/>
          </w:tcPr>
          <w:p>
            <w:r>
              <w:t>Produktfamilie</w:t>
            </w:r>
          </w:p>
        </w:tc>
        <w:tc>
          <w:tcPr>
            <w:tcW w:type="dxa" w:w="4320"/>
          </w:tcPr>
          <w:p>
            <w:r>
              <w:t>ICP-3 – InfoConnect Pro – Infotainment-Hauptrechner</w:t>
            </w:r>
          </w:p>
        </w:tc>
      </w:tr>
      <w:tr>
        <w:tc>
          <w:tcPr>
            <w:tcW w:type="dxa" w:w="4320"/>
          </w:tcPr>
          <w:p>
            <w:r>
              <w:t>Kunde / OEM</w:t>
            </w:r>
          </w:p>
        </w:tc>
        <w:tc>
          <w:tcPr>
            <w:tcW w:type="dxa" w:w="4320"/>
          </w:tcPr>
          <w:p>
            <w:r>
              <w:t>BMW Group; Mercedes-Benz Group AG</w:t>
            </w:r>
          </w:p>
        </w:tc>
      </w:tr>
      <w:tr>
        <w:tc>
          <w:tcPr>
            <w:tcW w:type="dxa" w:w="4320"/>
          </w:tcPr>
          <w:p>
            <w:r>
              <w:t>Plattform-Lebenszyklus</w:t>
            </w:r>
          </w:p>
        </w:tc>
        <w:tc>
          <w:tcPr>
            <w:tcW w:type="dxa" w:w="4320"/>
          </w:tcPr>
          <w:p>
            <w:r>
              <w:t>SOP 03/2022 – EOP geplant 12/2028</w:t>
            </w:r>
          </w:p>
        </w:tc>
      </w:tr>
      <w:tr>
        <w:tc>
          <w:tcPr>
            <w:tcW w:type="dxa" w:w="4320"/>
          </w:tcPr>
          <w:p>
            <w:r>
              <w:t>Erstellt durch</w:t>
            </w:r>
          </w:p>
        </w:tc>
        <w:tc>
          <w:tcPr>
            <w:tcW w:type="dxa" w:w="4320"/>
          </w:tcPr>
          <w:p>
            <w:r>
              <w:t>Dr.-Ing. Kerstin Roggner (QS-Engineering)</w:t>
            </w:r>
          </w:p>
        </w:tc>
      </w:tr>
      <w:tr>
        <w:tc>
          <w:tcPr>
            <w:tcW w:type="dxa" w:w="4320"/>
          </w:tcPr>
          <w:p>
            <w:r>
              <w:t>Genehmigt durch</w:t>
            </w:r>
          </w:p>
        </w:tc>
        <w:tc>
          <w:tcPr>
            <w:tcW w:type="dxa" w:w="4320"/>
          </w:tcPr>
          <w:p>
            <w:r>
              <w:t>Sabine Brand (Q-Leitung), Markus Henkel (Produktionsleiter)</w:t>
            </w:r>
          </w:p>
        </w:tc>
      </w:tr>
      <w:tr>
        <w:tc>
          <w:tcPr>
            <w:tcW w:type="dxa" w:w="4320"/>
          </w:tcPr>
          <w:p>
            <w:r>
              <w:t>Revisionsstand</w:t>
            </w:r>
          </w:p>
        </w:tc>
        <w:tc>
          <w:tcPr>
            <w:tcW w:type="dxa" w:w="4320"/>
          </w:tcPr>
          <w:p>
            <w:r>
              <w:t>4.2 (vorhergehend 4.1 vom 22.8.2022)</w:t>
            </w:r>
          </w:p>
        </w:tc>
      </w:tr>
      <w:tr>
        <w:tc>
          <w:tcPr>
            <w:tcW w:type="dxa" w:w="4320"/>
          </w:tcPr>
          <w:p>
            <w:r>
              <w:t>Naechstes Review</w:t>
            </w:r>
          </w:p>
        </w:tc>
        <w:tc>
          <w:tcPr>
            <w:tcW w:type="dxa" w:w="4320"/>
          </w:tcPr>
          <w:p>
            <w:r>
              <w:t>Q3 2023 (oder bei Aenderungsanforderung)</w:t>
            </w:r>
          </w:p>
        </w:tc>
      </w:tr>
    </w:tbl>
    <w:p>
      <w:pPr>
        <w:pStyle w:val="Heading3"/>
      </w:pPr>
      <w:r>
        <w:t>Prozess-Steuerungsplan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Prozessschritt</w:t>
            </w:r>
          </w:p>
        </w:tc>
        <w:tc>
          <w:tcPr>
            <w:tcW w:type="dxa" w:w="1440"/>
          </w:tcPr>
          <w:p>
            <w:r>
              <w:t>Merkmal</w:t>
            </w:r>
          </w:p>
        </w:tc>
        <w:tc>
          <w:tcPr>
            <w:tcW w:type="dxa" w:w="1440"/>
          </w:tcPr>
          <w:p>
            <w:r>
              <w:t>Spezifikation</w:t>
            </w:r>
          </w:p>
        </w:tc>
        <w:tc>
          <w:tcPr>
            <w:tcW w:type="dxa" w:w="1440"/>
          </w:tcPr>
          <w:p>
            <w:r>
              <w:t>Pruefmethode</w:t>
            </w:r>
          </w:p>
        </w:tc>
        <w:tc>
          <w:tcPr>
            <w:tcW w:type="dxa" w:w="1440"/>
          </w:tcPr>
          <w:p>
            <w:r>
              <w:t>Frequenz</w:t>
            </w:r>
          </w:p>
        </w:tc>
        <w:tc>
          <w:tcPr>
            <w:tcW w:type="dxa" w:w="1440"/>
          </w:tcPr>
          <w:p>
            <w:r>
              <w:t>Reaktionsplan</w:t>
            </w:r>
          </w:p>
        </w:tc>
      </w:tr>
      <w:tr>
        <w:tc>
          <w:tcPr>
            <w:tcW w:type="dxa" w:w="1440"/>
          </w:tcPr>
          <w:p>
            <w:r>
              <w:t>SMT-Linie 6 (HPC-Board)</w:t>
            </w:r>
          </w:p>
        </w:tc>
        <w:tc>
          <w:tcPr>
            <w:tcW w:type="dxa" w:w="1440"/>
          </w:tcPr>
          <w:p>
            <w:r>
              <w:t>BGA-Voiding &lt; 25 %</w:t>
            </w:r>
          </w:p>
        </w:tc>
        <w:tc>
          <w:tcPr>
            <w:tcW w:type="dxa" w:w="1440"/>
          </w:tcPr>
          <w:p>
            <w:r>
              <w:t>IPC-A-610 Class 3</w:t>
            </w:r>
          </w:p>
        </w:tc>
        <w:tc>
          <w:tcPr>
            <w:tcW w:type="dxa" w:w="1440"/>
          </w:tcPr>
          <w:p>
            <w:r>
              <w:t>AXI Viscom XR8000</w:t>
            </w:r>
          </w:p>
        </w:tc>
        <w:tc>
          <w:tcPr>
            <w:tcW w:type="dxa" w:w="1440"/>
          </w:tcPr>
          <w:p>
            <w:r>
              <w:t>Stichprobe 1:50</w:t>
            </w:r>
          </w:p>
        </w:tc>
        <w:tc>
          <w:tcPr>
            <w:tcW w:type="dxa" w:w="1440"/>
          </w:tcPr>
          <w:p>
            <w:r>
              <w:t>Sperrung Charge</w:t>
            </w:r>
          </w:p>
        </w:tc>
      </w:tr>
      <w:tr>
        <w:tc>
          <w:tcPr>
            <w:tcW w:type="dxa" w:w="1440"/>
          </w:tcPr>
          <w:p>
            <w:r>
              <w:t>Reflow-Loeten</w:t>
            </w:r>
          </w:p>
        </w:tc>
        <w:tc>
          <w:tcPr>
            <w:tcW w:type="dxa" w:w="1440"/>
          </w:tcPr>
          <w:p>
            <w:r>
              <w:t>Peak 248 +/- 4 °C</w:t>
            </w:r>
          </w:p>
        </w:tc>
        <w:tc>
          <w:tcPr>
            <w:tcW w:type="dxa" w:w="1440"/>
          </w:tcPr>
          <w:p>
            <w:r>
              <w:t>Profil P-7 ICP</w:t>
            </w:r>
          </w:p>
        </w:tc>
        <w:tc>
          <w:tcPr>
            <w:tcW w:type="dxa" w:w="1440"/>
          </w:tcPr>
          <w:p>
            <w:r>
              <w:t>KIC</w:t>
            </w:r>
          </w:p>
        </w:tc>
        <w:tc>
          <w:tcPr>
            <w:tcW w:type="dxa" w:w="1440"/>
          </w:tcPr>
          <w:p>
            <w:r>
              <w:t>stuendlich</w:t>
            </w:r>
          </w:p>
        </w:tc>
        <w:tc>
          <w:tcPr>
            <w:tcW w:type="dxa" w:w="1440"/>
          </w:tcPr>
          <w:p>
            <w:r>
              <w:t>Anpassung Profil</w:t>
            </w:r>
          </w:p>
        </w:tc>
      </w:tr>
      <w:tr>
        <w:tc>
          <w:tcPr>
            <w:tcW w:type="dxa" w:w="1440"/>
          </w:tcPr>
          <w:p>
            <w:r>
              <w:t>ICT</w:t>
            </w:r>
          </w:p>
        </w:tc>
        <w:tc>
          <w:tcPr>
            <w:tcW w:type="dxa" w:w="1440"/>
          </w:tcPr>
          <w:p>
            <w:r>
              <w:t>Funktion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Takaya APT-1400F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Re-Work-Station</w:t>
            </w:r>
          </w:p>
        </w:tc>
      </w:tr>
      <w:tr>
        <w:tc>
          <w:tcPr>
            <w:tcW w:type="dxa" w:w="1440"/>
          </w:tcPr>
          <w:p>
            <w:r>
              <w:t>Display-Connect-Test</w:t>
            </w:r>
          </w:p>
        </w:tc>
        <w:tc>
          <w:tcPr>
            <w:tcW w:type="dxa" w:w="1440"/>
          </w:tcPr>
          <w:p>
            <w:r>
              <w:t>MIPI-DSI / LVDS</w:t>
            </w:r>
          </w:p>
        </w:tc>
        <w:tc>
          <w:tcPr>
            <w:tcW w:type="dxa" w:w="1440"/>
          </w:tcPr>
          <w:p>
            <w:r>
              <w:t>i.O.</w:t>
            </w:r>
          </w:p>
        </w:tc>
        <w:tc>
          <w:tcPr>
            <w:tcW w:type="dxa" w:w="1440"/>
          </w:tcPr>
          <w:p>
            <w:r>
              <w:t>Brennhagen DispTest DT-7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Re-Connect</w:t>
            </w:r>
          </w:p>
        </w:tc>
      </w:tr>
      <w:tr>
        <w:tc>
          <w:tcPr>
            <w:tcW w:type="dxa" w:w="1440"/>
          </w:tcPr>
          <w:p>
            <w:r>
              <w:t>FCT-EOL Audio/Video</w:t>
            </w:r>
          </w:p>
        </w:tc>
        <w:tc>
          <w:tcPr>
            <w:tcW w:type="dxa" w:w="1440"/>
          </w:tcPr>
          <w:p>
            <w:r>
              <w:t>HDMI, A2B, Ethernet</w:t>
            </w:r>
          </w:p>
        </w:tc>
        <w:tc>
          <w:tcPr>
            <w:tcW w:type="dxa" w:w="1440"/>
          </w:tcPr>
          <w:p>
            <w:r>
              <w:t>alle Schnittstellen</w:t>
            </w:r>
          </w:p>
        </w:tc>
        <w:tc>
          <w:tcPr>
            <w:tcW w:type="dxa" w:w="1440"/>
          </w:tcPr>
          <w:p>
            <w:r>
              <w:t>Brennhagen FCT-IC-08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Re-Test</w:t>
            </w:r>
          </w:p>
        </w:tc>
      </w:tr>
      <w:tr>
        <w:tc>
          <w:tcPr>
            <w:tcW w:type="dxa" w:w="1440"/>
          </w:tcPr>
          <w:p>
            <w:r>
              <w:t>Akustik-Pruefung</w:t>
            </w:r>
          </w:p>
        </w:tc>
        <w:tc>
          <w:tcPr>
            <w:tcW w:type="dxa" w:w="1440"/>
          </w:tcPr>
          <w:p>
            <w:r>
              <w:t>SNR &gt; 95 dB</w:t>
            </w:r>
          </w:p>
        </w:tc>
        <w:tc>
          <w:tcPr>
            <w:tcW w:type="dxa" w:w="1440"/>
          </w:tcPr>
          <w:p>
            <w:r>
              <w:t>@ 1 kHz, 1 V RMS</w:t>
            </w:r>
          </w:p>
        </w:tc>
        <w:tc>
          <w:tcPr>
            <w:tcW w:type="dxa" w:w="1440"/>
          </w:tcPr>
          <w:p>
            <w:r>
              <w:t>Audio Precision APx555</w:t>
            </w:r>
          </w:p>
        </w:tc>
        <w:tc>
          <w:tcPr>
            <w:tcW w:type="dxa" w:w="1440"/>
          </w:tcPr>
          <w:p>
            <w:r>
              <w:t>Stichprobe 1:100</w:t>
            </w:r>
          </w:p>
        </w:tc>
        <w:tc>
          <w:tcPr>
            <w:tcW w:type="dxa" w:w="1440"/>
          </w:tcPr>
          <w:p>
            <w:r>
              <w:t>Akustik-Engineering</w:t>
            </w:r>
          </w:p>
        </w:tc>
      </w:tr>
      <w:tr>
        <w:tc>
          <w:tcPr>
            <w:tcW w:type="dxa" w:w="1440"/>
          </w:tcPr>
          <w:p>
            <w:r>
              <w:t>OTA-Update-Test (FOTA)</w:t>
            </w:r>
          </w:p>
        </w:tc>
        <w:tc>
          <w:tcPr>
            <w:tcW w:type="dxa" w:w="1440"/>
          </w:tcPr>
          <w:p>
            <w:r>
              <w:t>Image-Boot OK</w:t>
            </w:r>
          </w:p>
        </w:tc>
        <w:tc>
          <w:tcPr>
            <w:tcW w:type="dxa" w:w="1440"/>
          </w:tcPr>
          <w:p>
            <w:r>
              <w:t>Boot &lt; 12 s</w:t>
            </w:r>
          </w:p>
        </w:tc>
        <w:tc>
          <w:tcPr>
            <w:tcW w:type="dxa" w:w="1440"/>
          </w:tcPr>
          <w:p>
            <w:r>
              <w:t>Brennhagen Boot-Logger</w:t>
            </w:r>
          </w:p>
        </w:tc>
        <w:tc>
          <w:tcPr>
            <w:tcW w:type="dxa" w:w="1440"/>
          </w:tcPr>
          <w:p>
            <w:r>
              <w:t>Stichprobe 1:500</w:t>
            </w:r>
          </w:p>
        </w:tc>
        <w:tc>
          <w:tcPr>
            <w:tcW w:type="dxa" w:w="1440"/>
          </w:tcPr>
          <w:p>
            <w:r>
              <w:t>Re-Flash</w:t>
            </w:r>
          </w:p>
        </w:tc>
      </w:tr>
    </w:tbl>
    <w:p>
      <w:pPr>
        <w:pStyle w:val="Heading3"/>
      </w:pPr>
      <w:r>
        <w:t>Weitere Festlegungen</w:t>
      </w:r>
    </w:p>
    <w:p>
      <w:r>
        <w:t>Mercedes (MBSP-Q): Bestaetigung Cybersecurity-Konformitaet ISO/SAE 21434 fuer Boot-Loader. BMW (QM-CAQ): zusaetzliche Klimapruefung -40/+85 °C an Stichprobe 1:500. SoC: Qualcomm SA8295P (Cockpit-Plattform). Speicher: LPDDR5 12 GB Micron. Lebensdauer-Anforderung: 15 Jahre / 250.000 km bzw. 25.000 Betriebsstunden (BMW VVT-Reliability-Spec).</w:t>
      </w:r>
    </w:p>
    <w:p>
      <w:pPr>
        <w:pStyle w:val="Heading3"/>
      </w:pPr>
      <w:r>
        <w:t>Aenderungs-Historie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</w:tr>
      <w:tr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01.04.2022</w:t>
            </w:r>
          </w:p>
        </w:tc>
        <w:tc>
          <w:tcPr>
            <w:tcW w:type="dxa" w:w="2160"/>
          </w:tcPr>
          <w:p>
            <w:r>
              <w:t>Initial-Freigabe nach PPAP zur SOP</w:t>
            </w:r>
          </w:p>
        </w:tc>
        <w:tc>
          <w:tcPr>
            <w:tcW w:type="dxa" w:w="2160"/>
          </w:tcPr>
          <w:p>
            <w:r>
              <w:t>K. Roggner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22.08.2022</w:t>
            </w:r>
          </w:p>
        </w:tc>
        <w:tc>
          <w:tcPr>
            <w:tcW w:type="dxa" w:w="2160"/>
          </w:tcPr>
          <w:p>
            <w:r>
              <w:t>Erweiterung Pruefumfang EOL (CISPR 25)</w:t>
            </w:r>
          </w:p>
        </w:tc>
        <w:tc>
          <w:tcPr>
            <w:tcW w:type="dxa" w:w="2160"/>
          </w:tcPr>
          <w:p>
            <w:r>
              <w:t>S. Brand</w:t>
            </w:r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14.02.2023</w:t>
            </w:r>
          </w:p>
        </w:tc>
        <w:tc>
          <w:tcPr>
            <w:tcW w:type="dxa" w:w="2160"/>
          </w:tcPr>
          <w:p>
            <w:r>
              <w:t>Anpassung Reaktionsplan; Update Lieferanten</w:t>
            </w:r>
          </w:p>
        </w:tc>
        <w:tc>
          <w:tcPr>
            <w:tcW w:type="dxa" w:w="2160"/>
          </w:tcPr>
          <w:p>
            <w:r>
              <w:t>K. Roggner</w:t>
            </w:r>
          </w:p>
        </w:tc>
      </w:tr>
    </w:tbl>
    <w:p>
      <w:pPr>
        <w:pStyle w:val="Heading3"/>
      </w:pPr>
      <w:r>
        <w:t>Bemerkungen</w:t>
      </w:r>
    </w:p>
    <w:p>
      <w:r>
        <w:t>Aenderungen am Control Plan beduerfen Freigabe durch Q-Leitung Werk Heilbronn (Sabine Brand) sowie Information des OEM-Kunden (Q-Engineering Kontakt) gemaess Customer Specific Requirements (CSR). Bei Aenderungen am Produkt-Design ist ein PPAP-Re-Submission gemaess AIAG Level 3 erforderlich.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