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Intercompany-Quartalsbericht Q2 2019 – Brennhagen Elektronik GmbH (REG)</w:t>
      </w:r>
    </w:p>
    <w:p>
      <w:pPr>
        <w:jc w:val="center"/>
      </w:pPr>
      <w:r>
        <w:t>Verrechnungspreis-Reporting an Konzern-Steuerabteilung (Group Tax)</w:t>
      </w:r>
    </w:p>
    <w:p/>
    <w:p>
      <w:pPr>
        <w:pStyle w:val="Heading3"/>
      </w:pPr>
      <w:r>
        <w:t>Berichtszweck</w:t>
      </w:r>
    </w:p>
    <w:p>
      <w:r>
        <w:t>Quartalsweise Berichterstattung der REG Werk Heilbronn ueber die IC-Lieferungen und -Leistungen an verbundene Unternehmen der Brennhagen-Gruppe. Vorlage gemaess Konzern-Verrechnungspreis-Richtlinie 2018 (Update 2022) sowie OECD-VPL 2022. Adressat: Group Tax Director Dr. Heike Berger (REA Stuttgart), Group Controller Florian Maier, Local Tax Advisor Deloitte GmbH WPG (Heilbronn-Office).</w:t>
      </w:r>
    </w:p>
    <w:p>
      <w:pPr>
        <w:pStyle w:val="Heading3"/>
      </w:pPr>
      <w:r>
        <w:t>Berichtszeitraum</w:t>
      </w:r>
    </w:p>
    <w:p>
      <w:r>
        <w:t>Quartal: Q2 2019. Berichtswaehrung: EUR. Daten aus SAP S/4HANA REG, Buchungskreis 1000-REG; Konsolidierung Konzern-IFRS ueber OneStream.</w:t>
      </w:r>
    </w:p>
    <w:p>
      <w:pPr>
        <w:pStyle w:val="Heading3"/>
      </w:pPr>
      <w:r>
        <w:t>Wesentliche IC-Transaktionen (Quartalswerte)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Empfaenger / Gegenpartei</w:t>
            </w:r>
          </w:p>
        </w:tc>
        <w:tc>
          <w:tcPr>
            <w:tcW w:type="dxa" w:w="2160"/>
          </w:tcPr>
          <w:p>
            <w:r>
              <w:t>Leistung</w:t>
            </w:r>
          </w:p>
        </w:tc>
        <w:tc>
          <w:tcPr>
            <w:tcW w:type="dxa" w:w="2160"/>
          </w:tcPr>
          <w:p>
            <w:r>
              <w:t>Volumen EUR</w:t>
            </w:r>
          </w:p>
        </w:tc>
        <w:tc>
          <w:tcPr>
            <w:tcW w:type="dxa" w:w="2160"/>
          </w:tcPr>
          <w:p>
            <w:r>
              <w:t>Methode</w:t>
            </w:r>
          </w:p>
        </w:tc>
      </w:tr>
      <w:tr>
        <w:tc>
          <w:tcPr>
            <w:tcW w:type="dxa" w:w="2160"/>
          </w:tcPr>
          <w:p>
            <w:r>
              <w:t>RSG Brennhagen Software GmbH (DE)</w:t>
            </w:r>
          </w:p>
        </w:tc>
        <w:tc>
          <w:tcPr>
            <w:tcW w:type="dxa" w:w="2160"/>
          </w:tcPr>
          <w:p>
            <w:r>
              <w:t>Software-Integration ICP-3 / ECU-900</w:t>
            </w:r>
          </w:p>
        </w:tc>
        <w:tc>
          <w:tcPr>
            <w:tcW w:type="dxa" w:w="2160"/>
          </w:tcPr>
          <w:p>
            <w:r>
              <w:t>11.023.221</w:t>
            </w:r>
          </w:p>
        </w:tc>
        <w:tc>
          <w:tcPr>
            <w:tcW w:type="dxa" w:w="2160"/>
          </w:tcPr>
          <w:p>
            <w:r>
              <w:t>Cost+ 7 %</w:t>
            </w:r>
          </w:p>
        </w:tc>
      </w:tr>
      <w:tr>
        <w:tc>
          <w:tcPr>
            <w:tcW w:type="dxa" w:w="2160"/>
          </w:tcPr>
          <w:p>
            <w:r>
              <w:t>RPL Brennhagen Polska Sp. z o.o.</w:t>
            </w:r>
          </w:p>
        </w:tc>
        <w:tc>
          <w:tcPr>
            <w:tcW w:type="dxa" w:w="2160"/>
          </w:tcPr>
          <w:p>
            <w:r>
              <w:t>Komponenten-Bezug (SMD-Bestueckung Vorprodukte)</w:t>
            </w:r>
          </w:p>
        </w:tc>
        <w:tc>
          <w:tcPr>
            <w:tcW w:type="dxa" w:w="2160"/>
          </w:tcPr>
          <w:p>
            <w:r>
              <w:t>-13.472.826</w:t>
            </w:r>
          </w:p>
        </w:tc>
        <w:tc>
          <w:tcPr>
            <w:tcW w:type="dxa" w:w="2160"/>
          </w:tcPr>
          <w:p>
            <w:r>
              <w:t>Cost+ 5 % (Eingang)</w:t>
            </w:r>
          </w:p>
        </w:tc>
      </w:tr>
      <w:tr>
        <w:tc>
          <w:tcPr>
            <w:tcW w:type="dxa" w:w="2160"/>
          </w:tcPr>
          <w:p>
            <w:r>
              <w:t>RCZ Brennhagen CZ s.r.o.</w:t>
            </w:r>
          </w:p>
        </w:tc>
        <w:tc>
          <w:tcPr>
            <w:tcW w:type="dxa" w:w="2160"/>
          </w:tcPr>
          <w:p>
            <w:r>
              <w:t>Steckverbinder + Kabelkonfektion</w:t>
            </w:r>
          </w:p>
        </w:tc>
        <w:tc>
          <w:tcPr>
            <w:tcW w:type="dxa" w:w="2160"/>
          </w:tcPr>
          <w:p>
            <w:r>
              <w:t>-7.348.814</w:t>
            </w:r>
          </w:p>
        </w:tc>
        <w:tc>
          <w:tcPr>
            <w:tcW w:type="dxa" w:w="2160"/>
          </w:tcPr>
          <w:p>
            <w:r>
              <w:t>Cost+ 6 % (Eingang)</w:t>
            </w:r>
          </w:p>
        </w:tc>
      </w:tr>
      <w:tr>
        <w:tc>
          <w:tcPr>
            <w:tcW w:type="dxa" w:w="2160"/>
          </w:tcPr>
          <w:p>
            <w:r>
              <w:t>RHU Brennhagen Hungary Kft.</w:t>
            </w:r>
          </w:p>
        </w:tc>
        <w:tc>
          <w:tcPr>
            <w:tcW w:type="dxa" w:w="2160"/>
          </w:tcPr>
          <w:p>
            <w:r>
              <w:t>Sensorik-Module</w:t>
            </w:r>
          </w:p>
        </w:tc>
        <w:tc>
          <w:tcPr>
            <w:tcW w:type="dxa" w:w="2160"/>
          </w:tcPr>
          <w:p>
            <w:r>
              <w:t>-4.899.209</w:t>
            </w:r>
          </w:p>
        </w:tc>
        <w:tc>
          <w:tcPr>
            <w:tcW w:type="dxa" w:w="2160"/>
          </w:tcPr>
          <w:p>
            <w:r>
              <w:t>Cost+ 6 % (Eingang)</w:t>
            </w:r>
          </w:p>
        </w:tc>
      </w:tr>
      <w:tr>
        <w:tc>
          <w:tcPr>
            <w:tcW w:type="dxa" w:w="2160"/>
          </w:tcPr>
          <w:p>
            <w:r>
              <w:t>RCN Brennhagen Shanghai</w:t>
            </w:r>
          </w:p>
        </w:tc>
        <w:tc>
          <w:tcPr>
            <w:tcW w:type="dxa" w:w="2160"/>
          </w:tcPr>
          <w:p>
            <w:r>
              <w:t>Komponenten / Aftermarket Asien</w:t>
            </w:r>
          </w:p>
        </w:tc>
        <w:tc>
          <w:tcPr>
            <w:tcW w:type="dxa" w:w="2160"/>
          </w:tcPr>
          <w:p>
            <w:r>
              <w:t>3.674.407</w:t>
            </w:r>
          </w:p>
        </w:tc>
        <w:tc>
          <w:tcPr>
            <w:tcW w:type="dxa" w:w="2160"/>
          </w:tcPr>
          <w:p>
            <w:r>
              <w:t>Cost+ 7 %</w:t>
            </w:r>
          </w:p>
        </w:tc>
      </w:tr>
      <w:tr>
        <w:tc>
          <w:tcPr>
            <w:tcW w:type="dxa" w:w="2160"/>
          </w:tcPr>
          <w:p>
            <w:r>
              <w:t>REA Stuttgart (Holding)</w:t>
            </w:r>
          </w:p>
        </w:tc>
        <w:tc>
          <w:tcPr>
            <w:tcW w:type="dxa" w:w="2160"/>
          </w:tcPr>
          <w:p>
            <w:r>
              <w:t>Konzernumlage Shared Services</w:t>
            </w:r>
          </w:p>
        </w:tc>
        <w:tc>
          <w:tcPr>
            <w:tcW w:type="dxa" w:w="2160"/>
          </w:tcPr>
          <w:p>
            <w:r>
              <w:t>-2.449.604</w:t>
            </w:r>
          </w:p>
        </w:tc>
        <w:tc>
          <w:tcPr>
            <w:tcW w:type="dxa" w:w="2160"/>
          </w:tcPr>
          <w:p>
            <w:r>
              <w:t>Kostenumlage</w:t>
            </w:r>
          </w:p>
        </w:tc>
      </w:tr>
      <w:tr>
        <w:tc>
          <w:tcPr>
            <w:tcW w:type="dxa" w:w="2160"/>
          </w:tcPr>
          <w:p>
            <w:r>
              <w:t>Konzern-Treasury (Cash Pool)</w:t>
            </w:r>
          </w:p>
        </w:tc>
        <w:tc>
          <w:tcPr>
            <w:tcW w:type="dxa" w:w="2160"/>
          </w:tcPr>
          <w:p>
            <w:r>
              <w:t>Cash-Pool-Nettoposition Zinsen</w:t>
            </w:r>
          </w:p>
        </w:tc>
        <w:tc>
          <w:tcPr>
            <w:tcW w:type="dxa" w:w="2160"/>
          </w:tcPr>
          <w:p>
            <w:r>
              <w:t>61.240</w:t>
            </w:r>
          </w:p>
        </w:tc>
        <w:tc>
          <w:tcPr>
            <w:tcW w:type="dxa" w:w="2160"/>
          </w:tcPr>
          <w:p>
            <w:r>
              <w:t>Marktueblicher Zins</w:t>
            </w:r>
          </w:p>
        </w:tc>
      </w:tr>
      <w:tr>
        <w:tc>
          <w:tcPr>
            <w:tcW w:type="dxa" w:w="2160"/>
          </w:tcPr>
          <w:p>
            <w:r>
              <w:t>Gesamt IC-Volumen Quartal (Netto)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61.240.120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pPr>
        <w:pStyle w:val="Heading3"/>
      </w:pPr>
      <w:r>
        <w:t>IC-Margen und Benchmark</w:t>
      </w:r>
    </w:p>
    <w:p>
      <w:r>
        <w:t>Realisierte IC-Marge fuer Routine-Producer-Komponenten im Q2 2019: 6.4 % EBIT/Umsatz auf IC-Lieferungen REG -&gt; Konzern. Benchmark-Korridor gemaess PwC-Studie 2021 (Update 2023): 4,8 % – 7,2 % (Interquartile Range); realisierter Wert liegt im Median. Keine Anpassungen erforderlich. Lizenzgebuehren (Konzernpatente) wurden zu 3,8 % auf IC-Umsatz abgefuehrt (CUP).</w:t>
      </w:r>
    </w:p>
    <w:p>
      <w:pPr>
        <w:pStyle w:val="Heading3"/>
      </w:pPr>
      <w:r>
        <w:t>Hauptprodukt im Berichtszeitraum</w:t>
      </w:r>
    </w:p>
    <w:p>
      <w:r>
        <w:t>Im Q2 2019 entfielen die wesentlichen IC-Lieferungen auf die Plattform ICP-3 / ECU-900 Erstgeneration. Erste IC-Lieferungen ECU-900-Vorserie an VW-Werk Wolfsburg fuer MEB-Plattform Erprobung; Q2 mit erheblichen Engineering-Aufwendungen RSG.</w:t>
      </w:r>
    </w:p>
    <w:p>
      <w:pPr>
        <w:pStyle w:val="Heading3"/>
      </w:pPr>
      <w:r>
        <w:t>Compliance / Auffaelligkeiten</w:t>
      </w:r>
    </w:p>
    <w:p>
      <w:r>
        <w:t>Im Berichtszeitraum Q2 2019 keine wesentlichen Beanstandungen seitens des Local Tax Advisors. Keine Anpassungen seitens Betriebspruefung Finanzamt Heilbronn (Pruefungszeitraum 2017-2019 laeuft separat, Status: ohne wesentliche Feststellungen). Verrechnungspreis-Studien fuer die wesentlichen Kategorien sind vorhanden und werden jaehrlich aktualisiert.</w:t>
      </w:r>
    </w:p>
    <w:p>
      <w:pPr>
        <w:pStyle w:val="Heading3"/>
      </w:pPr>
      <w:r>
        <w:t>Anlagen</w:t>
      </w:r>
    </w:p>
    <w:p>
      <w:r>
        <w:t>(1) Detail-Auszug IC-Buchungen SAP (Konten 70xxx / 71xxx / 79xxx); (2) Cost+ Kalkulation Stundensaetze REG-Engineering 2023 ueberarbeitet; (3) Bestaetigung Geschaeftsfuehrer REG zur Korrektheit; (4) Quartals-Bestaetigung Local Tax Advisor.</w:t>
      </w:r>
    </w:p>
    <w:p>
      <w:pPr>
        <w:pStyle w:val="Heading3"/>
      </w:pPr>
      <w:r>
        <w:t>Unterschriften</w:t>
      </w:r>
    </w:p>
    <w:p>
      <w:r>
        <w:t>Ort, Datum: Heilbronn, den 20. Tag nach Quartalsende 2019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