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Q3 2019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Q3 2019.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11.624.562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-14.207.798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-7.749.708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-5.166.472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3.874.854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-2.583.236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64.580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64.580.900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Q3 2019: 6.5 %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Q3 2019 entfielen die wesentlichen IC-Lieferungen auf die Plattform ECU-900 (Powertrain ID.3). Anlauf-Phase ECU-900 fuer VW ID.3 (SOP 11/2019); Material-Vorbezug RPL fuer SMD-Vorprodukte erhoehte Eingangs-IC um 12 %.</w:t>
      </w:r>
    </w:p>
    <w:p>
      <w:pPr>
        <w:pStyle w:val="Heading3"/>
      </w:pPr>
      <w:r>
        <w:t>Compliance / Auffaelligkeiten</w:t>
      </w:r>
    </w:p>
    <w:p>
      <w:r>
        <w:t>Im Berichtszeitraum Q3 2019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2019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