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Februar 2020 – REG -&gt; RHO Stuttgart</w:t>
      </w:r>
    </w:p>
    <w:p>
      <w:pPr>
        <w:jc w:val="center"/>
      </w:pPr>
      <w:r>
        <w:t>Rechnungs-Nr. REG-IC-2020-02;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REG-IC-2020-02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REG-IC-2020-02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15.03.2020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01.02.2020 – 28.02.2020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Februar 2020 – Plattformen ICP-3 / ECU-900 / BMS-12</w:t>
            </w:r>
          </w:p>
        </w:tc>
        <w:tc>
          <w:tcPr>
            <w:tcW w:type="dxa" w:w="2880"/>
          </w:tcPr>
          <w:p>
            <w:r>
              <w:t>11.035.218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3.203.773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2.135.848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889.936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533.962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17.798.739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3.381.761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21.180.500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REG_IC_Spezifikation_2020_02).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15.03.2020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