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Maerz 2020 – REG -&gt; RHO Stuttgart</w:t>
      </w:r>
    </w:p>
    <w:p>
      <w:pPr>
        <w:jc w:val="center"/>
      </w:pPr>
      <w:r>
        <w:t>Rechnungs-Nr. REG-IC-2020-03;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REG-IC-2020-03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REG-IC-2020-03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15.04.2020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01.03.2020 – 31.03.2020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Maerz 2020 – Plattformen ICP-3 / ECU-900 / BMS-12</w:t>
            </w:r>
          </w:p>
        </w:tc>
        <w:tc>
          <w:tcPr>
            <w:tcW w:type="dxa" w:w="2880"/>
          </w:tcPr>
          <w:p>
            <w:r>
              <w:t>10.336.910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3.001.038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2.000.692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833.621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500.173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16.672.437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3.167.763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19.840.200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REG_IC_Spezifikation_2020_03).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15.04.2020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