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April 2020 – REG -&gt; RHO Stuttgart</w:t>
      </w:r>
    </w:p>
    <w:p>
      <w:pPr>
        <w:jc w:val="center"/>
      </w:pPr>
      <w:r>
        <w:t>Rechnungs-Nr. REG-IC-2020-04;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REG-IC-2020-04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15.05.2020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01.04.2020 – 30.04.2020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April 2020 – Plattformen ICP-3 / ECU-900 / BMS-12</w:t>
            </w:r>
          </w:p>
        </w:tc>
        <w:tc>
          <w:tcPr>
            <w:tcW w:type="dxa" w:w="2880"/>
          </w:tcPr>
          <w:p>
            <w:r>
              <w:t>7.408.947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2.150.984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1.433.989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597.495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358.497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11.949.916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2.270.484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14.220.400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REG_IC_Spezifikation_2020_04).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15.05.2020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