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Mai 2020 – REG -&gt; RHO Stuttgart</w:t>
      </w:r>
    </w:p>
    <w:p>
      <w:pPr>
        <w:jc w:val="center"/>
      </w:pPr>
      <w:r>
        <w:t>Rechnungs-Nr. REG-IC-2020-05;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REG-IC-2020-05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REG-IC-2020-05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15.06.2020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01.05.2020 – 31.05.2020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Mai 2020 – Plattformen ICP-3 / ECU-900 / BMS-12</w:t>
            </w:r>
          </w:p>
        </w:tc>
        <w:tc>
          <w:tcPr>
            <w:tcW w:type="dxa" w:w="2880"/>
          </w:tcPr>
          <w:p>
            <w:r>
              <w:t>6.690.060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1.942.275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1.294.850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539.521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323.712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10.790.420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2.050.180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12.840.600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REG_IC_Spezifikation_2020_05).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15.06.2020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