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Juni 2020 – REG -&gt; RHO Stuttgart</w:t>
      </w:r>
    </w:p>
    <w:p>
      <w:pPr>
        <w:jc w:val="center"/>
      </w:pPr>
      <w:r>
        <w:t>Rechnungs-Nr. REG-IC-2020-06;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REG-IC-2020-06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REG-IC-2020-06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15.07.2020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01.06.2020 – 30.06.2020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Juni 2020 – Plattformen ICP-3 / ECU-900 / BMS-12</w:t>
            </w:r>
          </w:p>
        </w:tc>
        <w:tc>
          <w:tcPr>
            <w:tcW w:type="dxa" w:w="2880"/>
          </w:tcPr>
          <w:p>
            <w:r>
              <w:t>8.550.008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2.482.260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1.654.840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689.516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413.710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13.790.336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2.620.164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16.410.500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REG_IC_Spezifikation_2020_06).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15.07.2020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