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Juli 2020 – REG -&gt; RHO Stuttgart</w:t>
      </w:r>
    </w:p>
    <w:p>
      <w:pPr>
        <w:jc w:val="center"/>
      </w:pPr>
      <w:r>
        <w:t>Rechnungs-Nr. REG-IC-2020-07;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REG-IC-2020-07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REG-IC-2020-07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15.08.2020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01.07.2020 – 31.07.2020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Juli 2020 – Plattformen ICP-3 / ECU-900 / BMS-12</w:t>
            </w:r>
          </w:p>
        </w:tc>
        <w:tc>
          <w:tcPr>
            <w:tcW w:type="dxa" w:w="2880"/>
          </w:tcPr>
          <w:p>
            <w:r>
              <w:t>9.680.701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2.810.526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1.873.684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780.701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468.421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15.614.034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2.966.666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18.580.700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REG_IC_Spezifikation_2020_07). Die Rechnung enthaelt keine Mengen-Boni oder retroaktiven Preisanpassungen. Cash-Pool-Settlement erfolgt ueber das Konzern-Treasury-System (Sweep-Konto Deutsche Bank AG, Wertstellung T+1). *** Diese Version ist ein Entwurf und nicht zur Buchung freigegeben. Finale Freigabe nach Plausibilisierung Group Controller. ***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15.08.2020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