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2020 – REG -&gt; RHO Stuttgart</w:t>
      </w:r>
    </w:p>
    <w:p>
      <w:pPr>
        <w:jc w:val="center"/>
      </w:pPr>
      <w:r>
        <w:t>Rechnungs-Nr. REG-IC-2020-09;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REG-IC-2020-09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15.10.2020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01.09.2020 – 30.09.2020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September 2020 – Plattformen ICP-3 / ECU-900 / BMS-12</w:t>
            </w:r>
          </w:p>
        </w:tc>
        <w:tc>
          <w:tcPr>
            <w:tcW w:type="dxa" w:w="2880"/>
          </w:tcPr>
          <w:p>
            <w:r>
              <w:t>10.024.618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2.910.373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1.940.248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808.436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485.062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16.168.739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3.072.061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19.240.800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REG_IC_Spezifikation_2020_09).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15.10.2020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