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Oktober 2020 – REG -&gt; RHO Stuttgart</w:t>
      </w:r>
    </w:p>
    <w:p>
      <w:pPr>
        <w:jc w:val="center"/>
      </w:pPr>
      <w:r>
        <w:t>Rechnungs-Nr. REG-IC-2020-10; Konzern-Sammelabrechnung Komponenten + Engineering</w:t>
      </w:r>
    </w:p>
    <w:p/>
    <w:p>
      <w:pPr>
        <w:pStyle w:val="Heading3"/>
      </w:pPr>
      <w:r>
        <w:t>Rechnungsadressat</w:t>
      </w:r>
    </w:p>
    <w:p>
      <w:r>
        <w:t>Brennhagen Holding GmbH (RHO) – Konzern-Verrechnung</w:t>
        <w:br/>
        <w:t>Vaihinger Strasse 120, 70567 Stuttgart</w:t>
        <w:br/>
        <w:t>HRB 726450, Amtsgericht Stuttgart</w:t>
        <w:br/>
        <w:t>USt-ID: DE 312 487 901</w:t>
      </w:r>
    </w:p>
    <w:p>
      <w:r>
        <w:t>Konzern-Buchungsstelle: Frau Andrea Pfaff, Group Accounts Payable, REA Stuttgart (Tel. 0711/4892-3214; E-Mail: andrea.pfaff@brennhagen.com)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Bankverbindung: Volksbank Heilbronn eG</w:t>
        <w:br/>
        <w:t>IBAN: DE48 6209 1800 0123 4567 89; BIC: GENODES1VHN</w:t>
        <w:br/>
        <w:t>Verwendungszweck: REG-IC-2020-10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REG-IC-2020-10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15.11.2020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01.10.2020 – 31.10.2020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Konzern-IC-Rahmenvertrag REA/REG vom 1.1.2018 (Update 1.7.2022)</w:t>
            </w:r>
          </w:p>
        </w:tc>
      </w:tr>
      <w:tr>
        <w:tc>
          <w:tcPr>
            <w:tcW w:type="dxa" w:w="4320"/>
          </w:tcPr>
          <w:p>
            <w:r>
              <w:t>Verrechnungspreis-Methode</w:t>
            </w:r>
          </w:p>
        </w:tc>
        <w:tc>
          <w:tcPr>
            <w:tcW w:type="dxa" w:w="4320"/>
          </w:tcPr>
          <w:p>
            <w:r>
              <w:t>Cost+ Routine-Marge 5-7 % (vgl. TP-Studie PwC 2022)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 Konzern-Settlement</w:t>
            </w:r>
          </w:p>
        </w:tc>
      </w:tr>
      <w:tr>
        <w:tc>
          <w:tcPr>
            <w:tcW w:type="dxa" w:w="4320"/>
          </w:tcPr>
          <w:p>
            <w:r>
              <w:t>Lieferbedingungen</w:t>
            </w:r>
          </w:p>
        </w:tc>
        <w:tc>
          <w:tcPr>
            <w:tcW w:type="dxa" w:w="4320"/>
          </w:tcPr>
          <w:p>
            <w:r>
              <w:t>DAP Stuttgart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Konzern-IC-Sammelrechnung Oktober 2020 – Plattformen ICP-3 / ECU-900 / BMS-12</w:t>
            </w:r>
          </w:p>
        </w:tc>
        <w:tc>
          <w:tcPr>
            <w:tcW w:type="dxa" w:w="2880"/>
          </w:tcPr>
          <w:p>
            <w:r>
              <w:t>11.003.905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Engineering-Services (Cost+ 7 %, ca. 8.450 h)</w:t>
            </w:r>
          </w:p>
        </w:tc>
        <w:tc>
          <w:tcPr>
            <w:tcW w:type="dxa" w:w="2880"/>
          </w:tcPr>
          <w:p>
            <w:r>
              <w:t>3.194.682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Materialweiterberechnung (Halbleiter, ICs, passive Komponenten)</w:t>
            </w:r>
          </w:p>
        </w:tc>
        <w:tc>
          <w:tcPr>
            <w:tcW w:type="dxa" w:w="2880"/>
          </w:tcPr>
          <w:p>
            <w:r>
              <w:t>2.129.788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Tooling-Abgrenzungen (Sondervorrichtungen, Pruefadapter)</w:t>
            </w:r>
          </w:p>
        </w:tc>
        <w:tc>
          <w:tcPr>
            <w:tcW w:type="dxa" w:w="2880"/>
          </w:tcPr>
          <w:p>
            <w:r>
              <w:t>887.411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/ Verpackung (DAP Stuttgart)</w:t>
            </w:r>
          </w:p>
        </w:tc>
        <w:tc>
          <w:tcPr>
            <w:tcW w:type="dxa" w:w="2880"/>
          </w:tcPr>
          <w:p>
            <w:r>
              <w:t>532.447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17.748.235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3.372.165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21.120.400</w:t>
            </w:r>
          </w:p>
        </w:tc>
      </w:tr>
    </w:tbl>
    <w:p>
      <w:pPr>
        <w:pStyle w:val="Heading3"/>
      </w:pPr>
      <w:r>
        <w:t>Hinweise</w:t>
      </w:r>
    </w:p>
    <w:p>
      <w:r>
        <w:t>Konzern-IC-Rechnung gemaess Verrechnungspreis-Rahmenvereinbarung REA/REG. Die Leistungs- und Lieferspezifikation ist in der Anlage 1 zur Rechnung detailliert ausgewiesen (separates Dokument REG_IC_Spezifikation_2020_10). Die Rechnung enthaelt keine Mengen-Boni oder retroaktiven Preisanpassungen. Cash-Pool-Settlement erfolgt ueber das Konzern-Treasury-System (Sweep-Konto Deutsche Bank AG, Wertstellung T+1).</w:t>
      </w:r>
    </w:p>
    <w:p>
      <w:pPr>
        <w:pStyle w:val="Heading3"/>
      </w:pPr>
      <w:r>
        <w:t>Bestaetigungen</w:t>
      </w:r>
    </w:p>
    <w:p>
      <w:r>
        <w:t>Bestaetigung der sachlichen Richtigkeit: Stefan Richter (Finanzcontroller REG). Bestaetigung der Genehmigung: Andreas Maier (Geschaeftsfuehrer REG). Bestaetigung der konzerneinheitlichen Bilanzierung: Florian Maier (Group Controller, REA Stuttgart).</w:t>
      </w:r>
    </w:p>
    <w:p>
      <w:pPr>
        <w:pStyle w:val="Heading3"/>
      </w:pPr>
      <w:r>
        <w:t>Unterschrift</w:t>
      </w:r>
    </w:p>
    <w:p>
      <w:r>
        <w:t>Ort, Datum: Heilbronn, den 15.11.2020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