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Dezember 2020 – REG -&gt; RHO Stuttgart</w:t>
      </w:r>
    </w:p>
    <w:p>
      <w:pPr>
        <w:jc w:val="center"/>
      </w:pPr>
      <w:r>
        <w:t>Rechnungs-Nr. REG-IC-2020-12;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REG-IC-2020-12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REG-IC-2020-12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15.01.2021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01.12.2020 – 31.12.2020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Dezember 2020 – Plattformen ICP-3 / ECU-900 / BMS-12</w:t>
            </w:r>
          </w:p>
        </w:tc>
        <w:tc>
          <w:tcPr>
            <w:tcW w:type="dxa" w:w="2880"/>
          </w:tcPr>
          <w:p>
            <w:r>
              <w:t>12.598.243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3.657.554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2.438.369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1.015.987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609.592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20.319.748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3.860.752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24.180.500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REG_IC_Spezifikation_2020_12).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15.01.2021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