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Januar 2021 – REG -&gt; RHO Stuttgart</w:t>
      </w:r>
    </w:p>
    <w:p>
      <w:pPr>
        <w:jc w:val="center"/>
      </w:pPr>
      <w:r>
        <w:t>Rechnungs-Nr. REG-IC-2021-01;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15.02.2021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01.01.2021 – 31.01.2021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Januar 2021 – Plattformen ICP-3 / ECU-900 / BMS-12</w:t>
            </w:r>
          </w:p>
        </w:tc>
        <w:tc>
          <w:tcPr>
            <w:tcW w:type="dxa" w:w="2880"/>
          </w:tcPr>
          <w:p>
            <w:r>
              <w:t>12.108.600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3.515.400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2.343.600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976.500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585.900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19.530.000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3.710.700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23.240.700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15.02.2021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