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Maerz 2021 – REG -&gt; RHO Stuttgart</w:t>
      </w:r>
    </w:p>
    <w:p>
      <w:pPr>
        <w:jc w:val="center"/>
      </w:pPr>
      <w:r>
        <w:t>Rechnungs-Nr. REG-IC-2021-03;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REG-IC-2021-03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REG-IC-2021-03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15.04.2021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01.03.2021 – 31.03.2021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Maerz 2021 – Plattformen ICP-3 / ECU-900 / BMS-12</w:t>
            </w:r>
          </w:p>
        </w:tc>
        <w:tc>
          <w:tcPr>
            <w:tcW w:type="dxa" w:w="2880"/>
          </w:tcPr>
          <w:p>
            <w:r>
              <w:t>12.566.931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3.648.463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2.432.309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1.013.462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608.077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20.269.244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3.851.156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24.120.400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REG_IC_Spezifikation_2021_03).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15.04.2021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