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April 2021 – REG -&gt; RHO Stuttgart</w:t>
      </w:r>
    </w:p>
    <w:p>
      <w:pPr>
        <w:jc w:val="center"/>
      </w:pPr>
      <w:r>
        <w:t>Rechnungs-Nr. REG-IC-2021-04;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REG-IC-2021-04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REG-IC-2021-04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15.05.2021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01.04.2021 – 30.04.2021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April 2021 – Plattformen ICP-3 / ECU-900 / BMS-12</w:t>
            </w:r>
          </w:p>
        </w:tc>
        <w:tc>
          <w:tcPr>
            <w:tcW w:type="dxa" w:w="2880"/>
          </w:tcPr>
          <w:p>
            <w:r>
              <w:t>11.900.301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3.454.926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2.303.284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959.701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575.821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19.194.034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3.646.866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22.840.900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REG_IC_Spezifikation_2021_04).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15.05.2021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