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Mai 2021 – REG -&gt; RHO Stuttgart</w:t>
      </w:r>
    </w:p>
    <w:p>
      <w:pPr>
        <w:jc w:val="center"/>
      </w:pPr>
      <w:r>
        <w:t>Rechnungs-Nr. REG-IC-2021-05;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REG-IC-2021-05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REG-IC-2021-05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15.06.2021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01.05.2021 – 31.05.2021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Mai 2021 – Plattformen ICP-3 / ECU-900 / BMS-12</w:t>
            </w:r>
          </w:p>
        </w:tc>
        <w:tc>
          <w:tcPr>
            <w:tcW w:type="dxa" w:w="2880"/>
          </w:tcPr>
          <w:p>
            <w:r>
              <w:t>12.197.067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3.541.084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2.360.722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983.634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590.180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19.672.689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3.737.811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23.410.500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REG_IC_Spezifikation_2021_05).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15.06.2021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