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November 2021 – REG -&gt; RHO Stuttgart</w:t>
      </w:r>
    </w:p>
    <w:p>
      <w:pPr>
        <w:jc w:val="center"/>
      </w:pPr>
      <w:r>
        <w:t>Rechnungs-Nr. REG-IC-2021-11;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REG-IC-2021-11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REG-IC-2021-11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15.12.2021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01.11.2021 – 30.11.2021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November 2021 – Plattformen ICP-3 / ECU-900 / BMS-12</w:t>
            </w:r>
          </w:p>
        </w:tc>
        <w:tc>
          <w:tcPr>
            <w:tcW w:type="dxa" w:w="2880"/>
          </w:tcPr>
          <w:p>
            <w:r>
              <w:t>14.192.529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4.120.411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2.746.941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1.144.558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686.735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22.891.176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4.349.324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27.240.500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REG_IC_Spezifikation_2021_11).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15.12.2021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