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2021 – REG -&gt; RHO Stuttgart</w:t>
      </w:r>
    </w:p>
    <w:p>
      <w:pPr>
        <w:jc w:val="center"/>
      </w:pPr>
      <w:r>
        <w:t>Rechnungs-Nr. REG-IC-2021-12;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REG-IC-2021-12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15.01.2022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01.12.2021 – 31.12.2021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Dezember 2021 – Plattformen ICP-3 / ECU-900 / BMS-12</w:t>
            </w:r>
          </w:p>
        </w:tc>
        <w:tc>
          <w:tcPr>
            <w:tcW w:type="dxa" w:w="2880"/>
          </w:tcPr>
          <w:p>
            <w:r>
              <w:t>14.802.317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4.297.447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2.864.964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1.193.735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716.241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23.874.706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4.536.194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28.410.900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REG_IC_Spezifikation_2021_12).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15.01.2022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