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GmbH (REG)</w:t>
      </w:r>
    </w:p>
    <w:p>
      <w:r>
        <w:rPr>
          <w:sz w:val="18"/>
        </w:rPr>
        <w:t>Industriestrasse 47, 74076 Heilbronn  |  HRB 221456, Amtsgericht Heilbronn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Februar 2022 – REG -&gt; RHO Stuttgart</w:t>
      </w:r>
    </w:p>
    <w:p>
      <w:pPr>
        <w:jc w:val="center"/>
      </w:pPr>
      <w:r>
        <w:t>Rechnungs-Nr. REG-IC-2022-02; Konzern-Sammelabrechnung Komponenten + Engineering</w:t>
      </w:r>
    </w:p>
    <w:p/>
    <w:p>
      <w:pPr>
        <w:pStyle w:val="Heading3"/>
      </w:pPr>
      <w:r>
        <w:t>Rechnungsadressat</w:t>
      </w:r>
    </w:p>
    <w:p>
      <w:r>
        <w:t>Brennhagen Holding GmbH (RHO) – Konzern-Verrechnung</w:t>
        <w:br/>
        <w:t>Vaihinger Strasse 120, 70567 Stuttgart</w:t>
        <w:br/>
        <w:t>HRB 726450, Amtsgericht Stuttgart</w:t>
        <w:br/>
        <w:t>USt-ID: DE 312 487 901</w:t>
      </w:r>
    </w:p>
    <w:p>
      <w:r>
        <w:t>Konzern-Buchungsstelle: Frau Andrea Pfaff, Group Accounts Payable, REA Stuttgart (Tel. 0711/4892-3214; E-Mail: andrea.pfaff@brennhagen.com)</w:t>
      </w:r>
    </w:p>
    <w:p>
      <w:pPr>
        <w:pStyle w:val="Heading3"/>
      </w:pPr>
      <w:r>
        <w:t>Rechnungssteller</w:t>
      </w:r>
    </w:p>
    <w:p>
      <w:r>
        <w:t>Brennhagen Elektronik GmbH (REG)</w:t>
        <w:br/>
        <w:t>Industriestrasse 47, 74076 Heilbronn</w:t>
        <w:br/>
        <w:t>HRB 221456, Amtsgericht Heilbronn</w:t>
        <w:br/>
        <w:t>USt-ID: DE 287 612 449</w:t>
      </w:r>
    </w:p>
    <w:p>
      <w:r>
        <w:t>Bankverbindung: Volksbank Heilbronn eG</w:t>
        <w:br/>
        <w:t>IBAN: DE48 6209 1800 0123 4567 89; BIC: GENODES1VHN</w:t>
        <w:br/>
        <w:t>Verwendungszweck: REG-IC-2022-02</w:t>
      </w:r>
    </w:p>
    <w:p>
      <w:pPr>
        <w:pStyle w:val="Heading3"/>
      </w:pPr>
      <w:r>
        <w:t>Rechnungsdaten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Rechnungsnummer</w:t>
            </w:r>
          </w:p>
        </w:tc>
        <w:tc>
          <w:tcPr>
            <w:tcW w:type="dxa" w:w="4320"/>
          </w:tcPr>
          <w:p>
            <w:r>
              <w:t>REG-IC-2022-02</w:t>
            </w:r>
          </w:p>
        </w:tc>
      </w:tr>
      <w:tr>
        <w:tc>
          <w:tcPr>
            <w:tcW w:type="dxa" w:w="4320"/>
          </w:tcPr>
          <w:p>
            <w:r>
              <w:t>Rechnungsdatum</w:t>
            </w:r>
          </w:p>
        </w:tc>
        <w:tc>
          <w:tcPr>
            <w:tcW w:type="dxa" w:w="4320"/>
          </w:tcPr>
          <w:p>
            <w:r>
              <w:t>15.03.2022</w:t>
            </w:r>
          </w:p>
        </w:tc>
      </w:tr>
      <w:tr>
        <w:tc>
          <w:tcPr>
            <w:tcW w:type="dxa" w:w="4320"/>
          </w:tcPr>
          <w:p>
            <w:r>
              <w:t>Leistungszeitraum</w:t>
            </w:r>
          </w:p>
        </w:tc>
        <w:tc>
          <w:tcPr>
            <w:tcW w:type="dxa" w:w="4320"/>
          </w:tcPr>
          <w:p>
            <w:r>
              <w:t>01.02.2022 – 28.02.2022</w:t>
            </w:r>
          </w:p>
        </w:tc>
      </w:tr>
      <w:tr>
        <w:tc>
          <w:tcPr>
            <w:tcW w:type="dxa" w:w="4320"/>
          </w:tcPr>
          <w:p>
            <w:r>
              <w:t>Vertragsgrundlage</w:t>
            </w:r>
          </w:p>
        </w:tc>
        <w:tc>
          <w:tcPr>
            <w:tcW w:type="dxa" w:w="4320"/>
          </w:tcPr>
          <w:p>
            <w:r>
              <w:t>Konzern-IC-Rahmenvertrag REA/REG vom 1.1.2018 (Update 1.7.2022)</w:t>
            </w:r>
          </w:p>
        </w:tc>
      </w:tr>
      <w:tr>
        <w:tc>
          <w:tcPr>
            <w:tcW w:type="dxa" w:w="4320"/>
          </w:tcPr>
          <w:p>
            <w:r>
              <w:t>Verrechnungspreis-Methode</w:t>
            </w:r>
          </w:p>
        </w:tc>
        <w:tc>
          <w:tcPr>
            <w:tcW w:type="dxa" w:w="4320"/>
          </w:tcPr>
          <w:p>
            <w:r>
              <w:t>Cost+ Routine-Marge 5-7 % (vgl. TP-Studie PwC 2022)</w:t>
            </w:r>
          </w:p>
        </w:tc>
      </w:tr>
      <w:tr>
        <w:tc>
          <w:tcPr>
            <w:tcW w:type="dxa" w:w="4320"/>
          </w:tcPr>
          <w:p>
            <w:r>
              <w:t>Zahlungsziel</w:t>
            </w:r>
          </w:p>
        </w:tc>
        <w:tc>
          <w:tcPr>
            <w:tcW w:type="dxa" w:w="4320"/>
          </w:tcPr>
          <w:p>
            <w:r>
              <w:t>30 Tage netto Konzern-Settlement</w:t>
            </w:r>
          </w:p>
        </w:tc>
      </w:tr>
      <w:tr>
        <w:tc>
          <w:tcPr>
            <w:tcW w:type="dxa" w:w="4320"/>
          </w:tcPr>
          <w:p>
            <w:r>
              <w:t>Lieferbedingungen</w:t>
            </w:r>
          </w:p>
        </w:tc>
        <w:tc>
          <w:tcPr>
            <w:tcW w:type="dxa" w:w="4320"/>
          </w:tcPr>
          <w:p>
            <w:r>
              <w:t>DAP Stuttgart (Incoterms 2020)</w:t>
            </w:r>
          </w:p>
        </w:tc>
      </w:tr>
    </w:tbl>
    <w:p>
      <w:pPr>
        <w:pStyle w:val="Heading3"/>
      </w:pPr>
      <w:r>
        <w:t>Leistungsaufstellung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Beschreibung</w:t>
            </w:r>
          </w:p>
        </w:tc>
        <w:tc>
          <w:tcPr>
            <w:tcW w:type="dxa" w:w="2880"/>
          </w:tcPr>
          <w:p>
            <w:r>
              <w:t>Betrag EUR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Konzern-IC-Sammelrechnung Februar 2022 – Plattformen ICP-3 / ECU-900 / BMS-12</w:t>
            </w:r>
          </w:p>
        </w:tc>
        <w:tc>
          <w:tcPr>
            <w:tcW w:type="dxa" w:w="2880"/>
          </w:tcPr>
          <w:p>
            <w:r>
              <w:t>12.566.931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Engineering-Services (Cost+ 7 %, ca. 8.450 h)</w:t>
            </w:r>
          </w:p>
        </w:tc>
        <w:tc>
          <w:tcPr>
            <w:tcW w:type="dxa" w:w="2880"/>
          </w:tcPr>
          <w:p>
            <w:r>
              <w:t>3.648.463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Materialweiterberechnung (Halbleiter, ICs, passive Komponenten)</w:t>
            </w:r>
          </w:p>
        </w:tc>
        <w:tc>
          <w:tcPr>
            <w:tcW w:type="dxa" w:w="2880"/>
          </w:tcPr>
          <w:p>
            <w:r>
              <w:t>2.432.309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Tooling-Abgrenzungen (Sondervorrichtungen, Pruefadapter)</w:t>
            </w:r>
          </w:p>
        </w:tc>
        <w:tc>
          <w:tcPr>
            <w:tcW w:type="dxa" w:w="2880"/>
          </w:tcPr>
          <w:p>
            <w:r>
              <w:t>1.013.462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Logistik / Verpackung (DAP Stuttgart)</w:t>
            </w:r>
          </w:p>
        </w:tc>
        <w:tc>
          <w:tcPr>
            <w:tcW w:type="dxa" w:w="2880"/>
          </w:tcPr>
          <w:p>
            <w:r>
              <w:t>608.077</w:t>
            </w:r>
          </w:p>
        </w:tc>
      </w:tr>
      <w:tr>
        <w:tc>
          <w:tcPr>
            <w:tcW w:type="dxa" w:w="2880"/>
          </w:tcPr>
          <w:p>
            <w:r>
              <w:t>Summe Netto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20.269.244</w:t>
            </w:r>
          </w:p>
        </w:tc>
      </w:tr>
      <w:tr>
        <w:tc>
          <w:tcPr>
            <w:tcW w:type="dxa" w:w="2880"/>
          </w:tcPr>
          <w:p>
            <w:r>
              <w:t>USt 19 %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3.851.156</w:t>
            </w:r>
          </w:p>
        </w:tc>
      </w:tr>
      <w:tr>
        <w:tc>
          <w:tcPr>
            <w:tcW w:type="dxa" w:w="2880"/>
          </w:tcPr>
          <w:p>
            <w:r>
              <w:t>Gesamt brutto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24.120.400</w:t>
            </w:r>
          </w:p>
        </w:tc>
      </w:tr>
    </w:tbl>
    <w:p>
      <w:pPr>
        <w:pStyle w:val="Heading3"/>
      </w:pPr>
      <w:r>
        <w:t>Hinweise</w:t>
      </w:r>
    </w:p>
    <w:p>
      <w:r>
        <w:t>Konzern-IC-Rechnung gemaess Verrechnungspreis-Rahmenvereinbarung REA/REG. Die Leistungs- und Lieferspezifikation ist in der Anlage 1 zur Rechnung detailliert ausgewiesen (separates Dokument REG_IC_Spezifikation_2022_02). Die Rechnung enthaelt keine Mengen-Boni oder retroaktiven Preisanpassungen. Cash-Pool-Settlement erfolgt ueber das Konzern-Treasury-System (Sweep-Konto Deutsche Bank AG, Wertstellung T+1).</w:t>
      </w:r>
    </w:p>
    <w:p>
      <w:pPr>
        <w:pStyle w:val="Heading3"/>
      </w:pPr>
      <w:r>
        <w:t>Bestaetigungen</w:t>
      </w:r>
    </w:p>
    <w:p>
      <w:r>
        <w:t>Bestaetigung der sachlichen Richtigkeit: Stefan Richter (Finanzcontroller REG). Bestaetigung der Genehmigung: Andreas Maier (Geschaeftsfuehrer REG). Bestaetigung der konzerneinheitlichen Bilanzierung: Florian Maier (Group Controller, REA Stuttgart).</w:t>
      </w:r>
    </w:p>
    <w:p>
      <w:pPr>
        <w:pStyle w:val="Heading3"/>
      </w:pPr>
      <w:r>
        <w:t>Unterschrift</w:t>
      </w:r>
    </w:p>
    <w:p>
      <w:r>
        <w:t>Ort, Datum: Heilbronn, den 15.03.2022</w:t>
      </w:r>
    </w:p>
    <w:p>
      <w:r>
        <w:t>_________________________            _________________________</w:t>
        <w:br/>
        <w:t>Stefan Richter                          Andreas Maier</w:t>
        <w:br/>
        <w:t>Finanzcontroller REG                          Geschaeftsfuehrer REG</w:t>
        <w:br/>
        <w:t>Brennhagen Elektronik GmbH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