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Maerz 2022 – REG -&gt; RHO Stuttgart</w:t>
      </w:r>
    </w:p>
    <w:p>
      <w:pPr>
        <w:jc w:val="center"/>
      </w:pPr>
      <w:r>
        <w:t>Rechnungs-Nr. REG-IC-2022-03;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REG-IC-2022-03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REG-IC-2022-03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15.04.2022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01.03.2022 – 31.03.2022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Maerz 2022 – Plattformen ICP-3 / ECU-900 / BMS-12</w:t>
            </w:r>
          </w:p>
        </w:tc>
        <w:tc>
          <w:tcPr>
            <w:tcW w:type="dxa" w:w="2880"/>
          </w:tcPr>
          <w:p>
            <w:r>
              <w:t>13.671.624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3.969.181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2.646.120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1.102.550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661.530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22.051.008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4.189.692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26.240.700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REG_IC_Spezifikation_2022_03). Die Rechnung enthaelt keine Mengen-Boni oder retroaktiven Preisanpassungen. Cash-Pool-Settlement erfolgt ueber das Konzern-Treasury-System (Sweep-Konto Deutsche Bank AG, Wertstellung T+1). *** Diese Version ist ein Entwurf und nicht zur Buchung freigegeben. Finale Freigabe nach Plausibilisierung Group Controller. ***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15.04.2022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