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April 2022 – REG -&gt; RHO Stuttgart</w:t>
      </w:r>
    </w:p>
    <w:p>
      <w:pPr>
        <w:jc w:val="center"/>
      </w:pPr>
      <w:r>
        <w:t>Rechnungs-Nr. REG-IC-2022-04;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REG-IC-2022-04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15.05.2022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01.04.2022 – 30.04.2022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April 2022 – Plattformen ICP-3 / ECU-900 / BMS-12</w:t>
            </w:r>
          </w:p>
        </w:tc>
        <w:tc>
          <w:tcPr>
            <w:tcW w:type="dxa" w:w="2880"/>
          </w:tcPr>
          <w:p>
            <w:r>
              <w:t>14.161.268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4.111.336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2.740.890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1.142.037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685.222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22.840.756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4.339.744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27.180.500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REG_IC_Spezifikation_2022_04).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15.05.2022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