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Mai 2022 – REG -&gt; RHO Stuttgart</w:t>
      </w:r>
    </w:p>
    <w:p>
      <w:pPr>
        <w:jc w:val="center"/>
      </w:pPr>
      <w:r>
        <w:t>Rechnungs-Nr. REG-IC-2022-05;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REG-IC-2022-05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REG-IC-2022-05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15.06.2022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01.05.2022 – 31.05.2022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Mai 2022 – Plattformen ICP-3 / ECU-900 / BMS-12</w:t>
            </w:r>
          </w:p>
        </w:tc>
        <w:tc>
          <w:tcPr>
            <w:tcW w:type="dxa" w:w="2880"/>
          </w:tcPr>
          <w:p>
            <w:r>
              <w:t>13.760.249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3.994.911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2.663.274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1.109.697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665.818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22.193.950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4.216.850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26.410.800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REG_IC_Spezifikation_2022_05).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15.06.2022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