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Juni 2022 – REG -&gt; RHO Stuttgart</w:t>
      </w:r>
    </w:p>
    <w:p>
      <w:pPr>
        <w:jc w:val="center"/>
      </w:pPr>
      <w:r>
        <w:t>Rechnungs-Nr. REG-IC-2022-06;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REG-IC-2022-06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REG-IC-2022-06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15.07.2022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01.06.2022 – 30.06.2022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Juni 2022 – Plattformen ICP-3 / ECU-900 / BMS-12</w:t>
            </w:r>
          </w:p>
        </w:tc>
        <w:tc>
          <w:tcPr>
            <w:tcW w:type="dxa" w:w="2880"/>
          </w:tcPr>
          <w:p>
            <w:r>
              <w:t>13.463.013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3.908.616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2.605.744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1.085.726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651.436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21.714.538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4.125.762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25.840.300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REG_IC_Spezifikation_2022_06).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15.07.2022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