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September 2022 – REG -&gt; RHO Stuttgart</w:t>
      </w:r>
    </w:p>
    <w:p>
      <w:pPr>
        <w:jc w:val="center"/>
      </w:pPr>
      <w:r>
        <w:t>Rechnungs-Nr. REG-IC-2022-09;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REG-IC-2022-09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REG-IC-2022-09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15.10.2022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01.09.2022 – 30.09.2022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September 2022 – Plattformen ICP-3 / ECU-900 / BMS-12</w:t>
            </w:r>
          </w:p>
        </w:tc>
        <w:tc>
          <w:tcPr>
            <w:tcW w:type="dxa" w:w="2880"/>
          </w:tcPr>
          <w:p>
            <w:r>
              <w:t>14.651.224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4.253.581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2.835.720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1.181.550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708.930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23.631.008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4.489.892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28.120.900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REG_IC_Spezifikation_2022_09).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15.10.2022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