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November 2022 – REG -&gt; RHO Stuttgart</w:t>
      </w:r>
    </w:p>
    <w:p>
      <w:pPr>
        <w:jc w:val="center"/>
      </w:pPr>
      <w:r>
        <w:t>Rechnungs-Nr. REG-IC-2022-11;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REG-IC-2022-11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REG-IC-2022-11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15.12.2022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01.11.2022 – 30.11.2022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November 2022 – Plattformen ICP-3 / ECU-900 / BMS-12</w:t>
            </w:r>
          </w:p>
        </w:tc>
        <w:tc>
          <w:tcPr>
            <w:tcW w:type="dxa" w:w="2880"/>
          </w:tcPr>
          <w:p>
            <w:r>
              <w:t>15.724.242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4.565.102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3.043.401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1.268.084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760.850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25.361.681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4.818.719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30.180.400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REG_IC_Spezifikation_2022_11).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15.12.2022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