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Dezember 2022 – REG -&gt; RHO Stuttgart</w:t>
      </w:r>
    </w:p>
    <w:p>
      <w:pPr>
        <w:jc w:val="center"/>
      </w:pPr>
      <w:r>
        <w:t>Rechnungs-Nr. REG-IC-2022-12;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REG-IC-2022-12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REG-IC-2022-12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15.01.2023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01.12.2022 – 31.12.2022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Dezember 2022 – Plattformen ICP-3 / ECU-900 / BMS-12</w:t>
            </w:r>
          </w:p>
        </w:tc>
        <w:tc>
          <w:tcPr>
            <w:tcW w:type="dxa" w:w="2880"/>
          </w:tcPr>
          <w:p>
            <w:r>
              <w:t>16.735.154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4.858.593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3.239.062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1.349.609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809.765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26.992.185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5.128.515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32.120.700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REG_IC_Spezifikation_2022_12).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15.01.2023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