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Industriestrasse 47, 74076 Heilbronn  |  HRB 221456, Amtsgericht Heilbronn</w:t>
      </w:r>
    </w:p>
    <w:p>
      <w:r>
        <w:t>────────────────────────────────────────────────────────────────────────────────</w:t>
      </w:r>
    </w:p>
    <w:p>
      <w:pPr>
        <w:pStyle w:val="Heading2"/>
      </w:pPr>
      <w:r>
        <w:t>Miet-/Pachtvertrag Betriebsgelaende Werk Heilbronn – Brennhagen Elektronik GmbH</w:t>
      </w:r>
    </w:p>
    <w:p>
      <w:pPr>
        <w:jc w:val="center"/>
      </w:pPr>
      <w:r>
        <w:t>Vermieterin: Industriegrundbesitz Heilbronn KG; Mieterin: Brennhagen Elektronik GmbH</w:t>
      </w:r>
    </w:p>
    <w:p/>
    <w:p>
      <w:pPr>
        <w:pStyle w:val="Heading3"/>
      </w:pPr>
      <w:r>
        <w:t>Vertragsparteien</w:t>
      </w:r>
    </w:p>
    <w:p>
      <w:r>
        <w:t>Vermieterin: Industriegrundbesitz Heilbronn GmbH &amp; Co. KG, vertreten durch die persoenlich haftende Gesellschafterin Industriegrundbesitz Heilbronn Verwaltungs-GmbH, diese vertreten durch den Geschaeftsfuehrer Herrn Dr. Bernd Voelker; Sitz: Wilhelmstrasse 21, 74072 Heilbronn; HRA 6231, Amtsgericht Heilbronn.</w:t>
      </w:r>
    </w:p>
    <w:p>
      <w:r>
        <w:t>Mieterin: Brennhagen Elektronik GmbH, vertreten durch den Geschaeftsfuehrer Herrn Andreas Maier; Sitz: Industriestrasse 47, 74076 Heilbronn; HRB 221456, Amtsgericht Heilbronn.</w:t>
      </w:r>
    </w:p>
    <w:p>
      <w:r>
        <w:t>Konzernzugehoerigkeit Mieterin: 100 %-Tochter der Brennhagen Holding GmbH (RHO Stuttgart) im Konzern Brennhagen Elektronik AG (REA), boersennotiert Frankfurter Wertpapierboerse Prime Standard.</w:t>
      </w:r>
    </w:p>
    <w:p>
      <w:pPr>
        <w:pStyle w:val="Heading3"/>
      </w:pPr>
      <w:r>
        <w:t>Vertragsklauseln</w:t>
      </w:r>
    </w:p>
    <w:p>
      <w:pPr>
        <w:pStyle w:val="Heading4"/>
      </w:pPr>
      <w:r>
        <w:t>§ 1 Mietobjekt</w:t>
      </w:r>
    </w:p>
    <w:p>
      <w:r>
        <w:rPr>
          <w:b/>
        </w:rPr>
        <w:t xml:space="preserve">(1) </w:t>
      </w:r>
      <w:r>
        <w:t>Vermietet wird das Betriebsgelaende Industriestrasse 47, 74076 Heilbronn, Flurstueck 8124/3 der Gemarkung Heilbronn, Gesamt-Grundflaeche 19.481 m². Das Gelaende umfasst: (a) Produktionshalle 1 (Bauteil A, ca. 8.420 m² Hallenflaeche, Baujahr 1994, refurbished 2018); (b) Produktionshalle 2 (Bauteil B, ca. 5.940 m², Baujahr 2012, gebaut speziell fuer SMD-Reinraum-Bereiche, ISO Klasse 8); (c) Buero- und Verwaltungsgebaeude (Bauteil C, 4 Stockwerke, ca. 2.840 m² BGF); (d) Logistikhalle inkl. Lagerregale (Bauteil D, ca. 1.420 m²); (e) Aussenanlagen (Parkplaetze 220 Stellplaetze, Anlieferzonen, Mitarbeiter-Pausenflaechen).</w:t>
      </w:r>
    </w:p>
    <w:p>
      <w:r>
        <w:rPr>
          <w:b/>
        </w:rPr>
        <w:t xml:space="preserve">(2) </w:t>
      </w:r>
      <w:r>
        <w:t>Die uebergebene Sachsubstanz ist im Uebergabeprotokoll vom 14.12.2019 detailliert dokumentiert (separate Anlage 1). Zur Mietsache gehoeren ferner die fest verbauten haustechnischen Anlagen (Heizung, Lueftung, Sprinkler, Druckluft, Mittelspannungstrafo-Station 800 kVA).</w:t>
      </w:r>
    </w:p>
    <w:p>
      <w:r>
        <w:rPr>
          <w:b/>
        </w:rPr>
        <w:t xml:space="preserve">(3) </w:t>
      </w:r>
      <w:r>
        <w:t>Die Mieterin nutzt das Mietobjekt fuer die Produktion und Montage elektronischer Komponenten der Plattformen ICP-3, BMS-12, ECU-900, ADAS-V4D und LightCtrl-7 fuer Automotive-OEM-Kunden.</w:t>
      </w:r>
    </w:p>
    <w:p>
      <w:pPr>
        <w:pStyle w:val="Heading4"/>
      </w:pPr>
      <w:r>
        <w:t>§ 2 Mietzins</w:t>
      </w:r>
    </w:p>
    <w:p>
      <w:r>
        <w:rPr>
          <w:b/>
        </w:rPr>
        <w:t xml:space="preserve">(1) </w:t>
      </w:r>
      <w:r>
        <w:t>Die monatliche Grundmiete betraegt 200.000 EUR (in Worten: zweihunderttausend Euro) zzgl. der jeweils gueltigen gesetzlichen Umsatzsteuer (derzeit 19 %, somit Bruttomiete 238.000 EUR/Monat). Der Mietzins ist jeweils im Voraus bis zum 3. Werktag eines jeden Kalendermonats faellig auf das im § 19 bezeichnete Konto der Vermieterin.</w:t>
      </w:r>
    </w:p>
    <w:p>
      <w:r>
        <w:rPr>
          <w:b/>
        </w:rPr>
        <w:t xml:space="preserve">(2) </w:t>
      </w:r>
      <w:r>
        <w:t>Die Miete wird jaehrlich, erstmals zum 1. Januar 2022, um 2,0 % erhoeht (fester Steigerungsindex). Alternative Indexklausel: VPI Baden-Wuerttemberg fuer Wirtschaftsimmobilien, Anpassung jeweils bei Indexaenderung &gt; 5 Punkte; in jedem Fall der hoehere Wert. Die jaehrliche Mieterhoehung ist der Mieterin schriftlich anzuzeigen.</w:t>
      </w:r>
    </w:p>
    <w:p>
      <w:r>
        <w:rPr>
          <w:b/>
        </w:rPr>
        <w:t xml:space="preserve">(3) </w:t>
      </w:r>
      <w:r>
        <w:t>Nebenkosten (Heizung, Lueftung, Strom Gemeinflaechen, Wasser, Abwasser, Muellabfuhr, Gebaeudereinigung, Versicherung Gebaeude, Wartung haustechnische Anlagen) werden anteilig nach Quadratmeter abgerechnet; monatliche Vorauszahlung 35.000 EUR; Endabrechnung jeweils zum 31. Mai des Folgejahres.</w:t>
      </w:r>
    </w:p>
    <w:p>
      <w:pPr>
        <w:pStyle w:val="Heading4"/>
      </w:pPr>
      <w:r>
        <w:t>§ 3 Mietzeit und Kuendigung</w:t>
      </w:r>
    </w:p>
    <w:p>
      <w:r>
        <w:rPr>
          <w:b/>
        </w:rPr>
        <w:t xml:space="preserve">(1) </w:t>
      </w:r>
      <w:r>
        <w:t>Das Mietverhaeltnis beginnt am 1. Januar 2020 und ist auf 15 Jahre festgeschlossen (Festlaufzeit bis 31. Dezember 2034). Eine ordentliche Kuendigung waehrend der Festlaufzeit ist ausgeschlossen.</w:t>
      </w:r>
    </w:p>
    <w:p>
      <w:r>
        <w:rPr>
          <w:b/>
        </w:rPr>
        <w:t xml:space="preserve">(2) </w:t>
      </w:r>
      <w:r>
        <w:t>Die Mieterin erhaelt zwei Verlaengerungsoptionen von jeweils 5 Jahren (somit verlaengerbar bis 31.12.2044). Die Optionsausuebung muss schriftlich spaetestens 12 Monate vor Ablauf der jeweiligen Laufzeit erfolgen.</w:t>
      </w:r>
    </w:p>
    <w:p>
      <w:r>
        <w:rPr>
          <w:b/>
        </w:rPr>
        <w:t xml:space="preserve">(3) </w:t>
      </w:r>
      <w:r>
        <w:t>Das Recht zur ausserordentlichen Kuendigung aus wichtigem Grund bleibt unberuehrt. Insbesondere kann die Mieterin den Vertrag fristlos kuendigen, wenn die Mietsache infolge nicht durch die Mieterin zu vertretenden Ereignissen (Brand, Wasser-schaden, behoerdliche Anordnungen) ueber 90 Tage hinaus nicht nutzbar ist.</w:t>
      </w:r>
    </w:p>
    <w:p>
      <w:pPr>
        <w:pStyle w:val="Heading4"/>
      </w:pPr>
      <w:r>
        <w:t>§ 4 Erhaltungslast / Instandhaltung</w:t>
      </w:r>
    </w:p>
    <w:p>
      <w:r>
        <w:rPr>
          <w:b/>
        </w:rPr>
        <w:t xml:space="preserve">(1) </w:t>
      </w:r>
      <w:r>
        <w:t>Die Vermieterin traegt die Dach-und-Fach-Instandhaltung sowie die Erhaltung der Substanz der Gebaeudehuelle und der Tragkonstruktion. Saemtliche Instandhaltungsmassnahmen im Inneren der Mietsache (Bodenbelaege, Trennwaende, Beleuchtung, Sanitaeranlagen, etc.) sowie die Wartung der haustechnischen Anlagen obliegen der Mieterin.</w:t>
      </w:r>
    </w:p>
    <w:p>
      <w:r>
        <w:rPr>
          <w:b/>
        </w:rPr>
        <w:t xml:space="preserve">(2) </w:t>
      </w:r>
      <w:r>
        <w:t>Aenderungen am Mietobjekt (insbesondere Reinraum-Erweiterungen, neue SMD-Linien, neue Mediennetze) beduerfen der vorherigen schriftlichen Zustimmung der Vermieterin. Die Vermieterin wird ihre Zustimmung nicht ohne wichtigen Grund verweigern.</w:t>
      </w:r>
    </w:p>
    <w:p>
      <w:pPr>
        <w:pStyle w:val="Heading4"/>
      </w:pPr>
      <w:r>
        <w:t>§ 5 Kaution / Sicherheiten</w:t>
      </w:r>
    </w:p>
    <w:p>
      <w:r>
        <w:rPr>
          <w:b/>
        </w:rPr>
        <w:t xml:space="preserve">(1) </w:t>
      </w:r>
      <w:r>
        <w:t>Die Mieterin stellt eine Bankbuergschaft eines deutschen Kreditinstituts in Hoehe von 600.000 EUR (3 Monatsmieten netto). Die Buergschaft wird bei Vertragsbeginn gestellt; Verguetung der Buergschaft traegt die Mieterin.</w:t>
      </w:r>
    </w:p>
    <w:p>
      <w:r>
        <w:rPr>
          <w:b/>
        </w:rPr>
        <w:t xml:space="preserve">(2) </w:t>
      </w:r>
      <w:r>
        <w:t>Die Mieterin verpflichtet sich, das Mietobjekt auf eigene Kosten gegen Feuer (Industrieversicherung), Leitungswasser und Sturm/Hagel zu versichern (Police HDI Global SE, VS 140 Mio. EUR, Mitversicherung Vermieterin).</w:t>
      </w:r>
    </w:p>
    <w:p>
      <w:pPr>
        <w:pStyle w:val="Heading4"/>
      </w:pPr>
      <w:r>
        <w:t>§ 6 Rueckgabe</w:t>
      </w:r>
    </w:p>
    <w:p>
      <w:r>
        <w:rPr>
          <w:b/>
        </w:rPr>
        <w:t xml:space="preserve">(1) </w:t>
      </w:r>
      <w:r>
        <w:t>Bei Beendigung des Mietverhaeltnisses ist das Mietobjekt im Zustand zurueckzugeben, in dem es uebergeben wurde, abzueglich normaler Abnutzung. Mieter-spezifische Einbauten (insbesondere SMD-Reinraeume) koennen nach Wahl der Vermieterin gegen Restbuchwert-Ausgleich uebernommen oder zurueckgebaut werden.</w:t>
      </w:r>
    </w:p>
    <w:p>
      <w:r>
        <w:rPr>
          <w:b/>
        </w:rPr>
        <w:t xml:space="preserve">(2) </w:t>
      </w:r>
      <w:r>
        <w:t>Ein Uebergabeprotokoll wird gemeinsam erstellt; etwaige Maengel sind binnen 4 Wochen zu beseitigen.</w:t>
      </w:r>
    </w:p>
    <w:p>
      <w:pPr>
        <w:pStyle w:val="Heading4"/>
      </w:pPr>
      <w:r>
        <w:t>§ 7 Schlussbestimmungen</w:t>
      </w:r>
    </w:p>
    <w:p>
      <w:r>
        <w:rPr>
          <w:b/>
        </w:rPr>
        <w:t xml:space="preserve">(1) </w:t>
      </w:r>
      <w:r>
        <w:t>Aenderungen und Ergaenzungen dieses Vertrages beduerfen der Schriftform; dies gilt auch fuer die Aufhebung der Schriftformklausel. Sollten einzelne Bestimmungen unwirksam sein, bleibt die Wirksamkeit der uebrigen Bestimmungen unberuehrt. Gerichtsstand ist Heilbronn. Es gilt deutsches Recht.</w:t>
      </w:r>
    </w:p>
    <w:p>
      <w:pPr>
        <w:pStyle w:val="Heading3"/>
      </w:pPr>
      <w:r>
        <w:t>Unterschriften</w:t>
      </w:r>
    </w:p>
    <w:p>
      <w:r>
        <w:t>Ort, Datum: Heilbronn, den 14. Dezember 2019</w:t>
      </w:r>
    </w:p>
    <w:p>
      <w:r>
        <w:t>_________________________            _________________________</w:t>
        <w:br/>
        <w:t>Dr. Bernd Voelker                          Andreas Maier</w:t>
        <w:br/>
        <w:t>Geschaeftsfuehrer                          Geschaeftsfuehrer</w:t>
        <w:br/>
        <w:t>Industriegrundbesitz Heilbronn GmbH &amp; Co. KG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