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GmbH (REG)</w:t>
      </w:r>
    </w:p>
    <w:p>
      <w:r>
        <w:rPr>
          <w:sz w:val="18"/>
        </w:rPr>
        <w:t>Industriestrasse 47, 74076 Heilbronn  |  HRB 221456, Amtsgericht Heilbronn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IC-Rechnung Januar 2023 – REG Heilbronn an RSG Muenchen</w:t>
      </w:r>
    </w:p>
    <w:p>
      <w:pPr>
        <w:jc w:val="center"/>
      </w:pPr>
      <w:r>
        <w:t>Rechnungs-Nr. REG-RSG-IC-2023-01; Hardware-Vorprodukte fuer Software-Integration</w:t>
      </w:r>
    </w:p>
    <w:p/>
    <w:p>
      <w:pPr>
        <w:pStyle w:val="Heading3"/>
      </w:pPr>
      <w:r>
        <w:t>Rechnungsadressat</w:t>
      </w:r>
    </w:p>
    <w:p>
      <w:r>
        <w:t>Brennhagen Software GmbH (RSG)</w:t>
        <w:br/>
        <w:t>Bayerstrasse 33, 80335 Muenchen</w:t>
        <w:br/>
        <w:t>HRB 319872, Amtsgericht Muenchen</w:t>
        <w:br/>
        <w:t>USt-ID: DE 312 487 902</w:t>
      </w:r>
    </w:p>
    <w:p>
      <w:r>
        <w:t>Kontakt Group Accounts Payable RSG: Sandra Kessler, sandra.kessler@brennhagen-software.com</w:t>
      </w:r>
    </w:p>
    <w:p>
      <w:pPr>
        <w:pStyle w:val="Heading3"/>
      </w:pPr>
      <w:r>
        <w:t>Rechnungssteller</w:t>
      </w:r>
    </w:p>
    <w:p>
      <w:r>
        <w:t>Brennhagen Elektronik GmbH (REG)</w:t>
        <w:br/>
        <w:t>Industriestrasse 47, 74076 Heilbronn</w:t>
        <w:br/>
        <w:t>HRB 221456, Amtsgericht Heilbronn</w:t>
        <w:br/>
        <w:t>USt-ID: DE 287 612 449</w:t>
      </w:r>
    </w:p>
    <w:p>
      <w:r>
        <w:t>Ansprechpartner Forderung: Stefan Richter (Finanzcontroller), stefan.richter@brennhagen-elektronik.com, Tel. 07131/4823-2104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Rechnungsnummer</w:t>
            </w:r>
          </w:p>
        </w:tc>
        <w:tc>
          <w:tcPr>
            <w:tcW w:type="dxa" w:w="4320"/>
          </w:tcPr>
          <w:p>
            <w:r>
              <w:t>REG-RSG-IC-2023-01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10.02.2023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Januar 2023</w:t>
            </w:r>
          </w:p>
        </w:tc>
      </w:tr>
      <w:tr>
        <w:tc>
          <w:tcPr>
            <w:tcW w:type="dxa" w:w="4320"/>
          </w:tcPr>
          <w:p>
            <w:r>
              <w:t>Vertragsgrundlage</w:t>
            </w:r>
          </w:p>
        </w:tc>
        <w:tc>
          <w:tcPr>
            <w:tcW w:type="dxa" w:w="4320"/>
          </w:tcPr>
          <w:p>
            <w:r>
              <w:t>IC-Liefervereinbarung REG-RSG vom 1.1.2018 (Update 14.3.2022)</w:t>
            </w:r>
          </w:p>
        </w:tc>
      </w:tr>
      <w:tr>
        <w:tc>
          <w:tcPr>
            <w:tcW w:type="dxa" w:w="4320"/>
          </w:tcPr>
          <w:p>
            <w:r>
              <w:t>VP-Methode</w:t>
            </w:r>
          </w:p>
        </w:tc>
        <w:tc>
          <w:tcPr>
            <w:tcW w:type="dxa" w:w="4320"/>
          </w:tcPr>
          <w:p>
            <w:r>
              <w:t>Cost+ 6 % auf Materialkosten + 8 % auf Engineering</w:t>
            </w:r>
          </w:p>
        </w:tc>
      </w:tr>
      <w:tr>
        <w:tc>
          <w:tcPr>
            <w:tcW w:type="dxa" w:w="4320"/>
          </w:tcPr>
          <w:p>
            <w:r>
              <w:t>Zahlungsziel</w:t>
            </w:r>
          </w:p>
        </w:tc>
        <w:tc>
          <w:tcPr>
            <w:tcW w:type="dxa" w:w="4320"/>
          </w:tcPr>
          <w:p>
            <w:r>
              <w:t>30 Tage netto</w:t>
            </w:r>
          </w:p>
        </w:tc>
      </w:tr>
      <w:tr>
        <w:tc>
          <w:tcPr>
            <w:tcW w:type="dxa" w:w="4320"/>
          </w:tcPr>
          <w:p>
            <w:r>
              <w:t>Lieferbedingung</w:t>
            </w:r>
          </w:p>
        </w:tc>
        <w:tc>
          <w:tcPr>
            <w:tcW w:type="dxa" w:w="4320"/>
          </w:tcPr>
          <w:p>
            <w:r>
              <w:t>FCA Heilbronn (Incoterms 2020)</w:t>
            </w:r>
          </w:p>
        </w:tc>
      </w:tr>
    </w:tbl>
    <w:p>
      <w:pPr>
        <w:pStyle w:val="Heading3"/>
      </w:pPr>
      <w:r>
        <w:t>Leistungsaufstellung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Pos.</w:t>
            </w:r>
          </w:p>
        </w:tc>
        <w:tc>
          <w:tcPr>
            <w:tcW w:type="dxa" w:w="2880"/>
          </w:tcPr>
          <w:p>
            <w:r>
              <w:t>Beschreibung</w:t>
            </w:r>
          </w:p>
        </w:tc>
        <w:tc>
          <w:tcPr>
            <w:tcW w:type="dxa" w:w="2880"/>
          </w:tcPr>
          <w:p>
            <w:r>
              <w:t>Betrag EUR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Hardware-Vorprodukte ICP-3 Cockpit-Board (Snapdragon SA8295P-Baugruppen)</w:t>
            </w:r>
          </w:p>
        </w:tc>
        <w:tc>
          <w:tcPr>
            <w:tcW w:type="dxa" w:w="2880"/>
          </w:tcPr>
          <w:p>
            <w:r>
              <w:t>1.452.365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ECU-900 Dev-Hardware (Aurix-Baugruppen, Adapter-Boards)</w:t>
            </w:r>
          </w:p>
        </w:tc>
        <w:tc>
          <w:tcPr>
            <w:tcW w:type="dxa" w:w="2880"/>
          </w:tcPr>
          <w:p>
            <w:r>
              <w:t>710.045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ADAS-V4D Engineering-Samples (Stand 4.2, Q1)</w:t>
            </w:r>
          </w:p>
        </w:tc>
        <w:tc>
          <w:tcPr>
            <w:tcW w:type="dxa" w:w="2880"/>
          </w:tcPr>
          <w:p>
            <w:r>
              <w:t>484.121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BMS-12 Test-Adapter und Mess-Equipment</w:t>
            </w:r>
          </w:p>
        </w:tc>
        <w:tc>
          <w:tcPr>
            <w:tcW w:type="dxa" w:w="2880"/>
          </w:tcPr>
          <w:p>
            <w:r>
              <w:t>322.747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Logistik (DHL Industrial, FCA Heilbronn)</w:t>
            </w:r>
          </w:p>
        </w:tc>
        <w:tc>
          <w:tcPr>
            <w:tcW w:type="dxa" w:w="2880"/>
          </w:tcPr>
          <w:p>
            <w:r>
              <w:t>96.824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Konzern-Umlage Sonstiges</w:t>
            </w:r>
          </w:p>
        </w:tc>
        <w:tc>
          <w:tcPr>
            <w:tcW w:type="dxa" w:w="2880"/>
          </w:tcPr>
          <w:p>
            <w:r>
              <w:t>161.373</w:t>
            </w:r>
          </w:p>
        </w:tc>
      </w:tr>
      <w:tr>
        <w:tc>
          <w:tcPr>
            <w:tcW w:type="dxa" w:w="2880"/>
          </w:tcPr>
          <w:p>
            <w:r>
              <w:t>Summe Netto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3.227.479</w:t>
            </w:r>
          </w:p>
        </w:tc>
      </w:tr>
      <w:tr>
        <w:tc>
          <w:tcPr>
            <w:tcW w:type="dxa" w:w="2880"/>
          </w:tcPr>
          <w:p>
            <w:r>
              <w:t>USt 19 %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613.221</w:t>
            </w:r>
          </w:p>
        </w:tc>
      </w:tr>
      <w:tr>
        <w:tc>
          <w:tcPr>
            <w:tcW w:type="dxa" w:w="2880"/>
          </w:tcPr>
          <w:p>
            <w:r>
              <w:t>Gesamt brutto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3.840.700</w:t>
            </w:r>
          </w:p>
        </w:tc>
      </w:tr>
    </w:tbl>
    <w:p>
      <w:pPr>
        <w:pStyle w:val="Heading3"/>
      </w:pPr>
      <w:r>
        <w:t>Hinweise / Verrechnungspreise</w:t>
      </w:r>
    </w:p>
    <w:p>
      <w:r>
        <w:t>IC-Rechnung gemaess der internen Liefervereinbarung REG-RSG. Die Verrechnungspreis-Methodik (Cost+ 6 % bzw. 8 %) ist im Konzern-Local-File REG sowie im Local-File RSG dokumentiert. Im Berichtsmonat Januar 2023 keine ausserplanmaessigen Anpassungen, keine Retro-Boni. Die Rechnung wird im Cash-Pool-Settlement T+1 zwischen REG (Volksbank Heilbronn) und RSG (HypoVereinsbank Muenchen) ueber die Konzern-Treasury (Markus Pflanzer) abgewickelt.</w:t>
      </w:r>
    </w:p>
    <w:p>
      <w:pPr>
        <w:pStyle w:val="Heading3"/>
      </w:pPr>
      <w:r>
        <w:t>Bestaetigungen</w:t>
      </w:r>
    </w:p>
    <w:p>
      <w:r>
        <w:t>Sachliche Richtigkeit: Stefan Richter (Finanzcontroller REG). Genehmigung: Andreas Maier (Geschaeftsfuehrer REG). Empfangs-Bestaetigung RSG: Dr. Klaus Kessler (Werkleiter RSG). Tax-Review: Group Tax Director Dr. Heike Berger.</w:t>
      </w:r>
    </w:p>
    <w:p>
      <w:pPr>
        <w:pStyle w:val="Heading3"/>
      </w:pPr>
      <w:r>
        <w:t>Unterschrift</w:t>
      </w:r>
    </w:p>
    <w:p>
      <w:r>
        <w:t>Ort, Datum: Heilbronn, den 10.02.2023</w:t>
      </w:r>
    </w:p>
    <w:p>
      <w:r>
        <w:t>_________________________            _________________________</w:t>
        <w:br/>
        <w:t>Stefan Richter                          Sandra Kessler</w:t>
        <w:br/>
        <w:t>Finanzcontroller REG                          Accounts Payable</w:t>
        <w:br/>
        <w:t>Brennhagen Elektronik GmbH                       Brennhagen Software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