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Dezember 2023 – REG Heilbronn an RSG Muenchen</w:t>
      </w:r>
    </w:p>
    <w:p>
      <w:pPr>
        <w:jc w:val="center"/>
      </w:pPr>
      <w:r>
        <w:t>Rechnungs-Nr. REG-RSG-IC-2023-12; Hardware-Vorprodukte fuer Software-Integration</w:t>
      </w:r>
    </w:p>
    <w:p/>
    <w:p>
      <w:pPr>
        <w:pStyle w:val="Heading3"/>
      </w:pPr>
      <w:r>
        <w:t>Rechnungsadressat</w:t>
      </w:r>
    </w:p>
    <w:p>
      <w:r>
        <w:t>Brennhagen Software GmbH (RSG)</w:t>
        <w:br/>
        <w:t>Bayerstrasse 33, 80335 Muenchen</w:t>
        <w:br/>
        <w:t>HRB 319872, Amtsgericht Muenchen</w:t>
        <w:br/>
        <w:t>USt-ID: DE 312 487 902</w:t>
      </w:r>
    </w:p>
    <w:p>
      <w:r>
        <w:t>Kontakt Group Accounts Payable RSG: Sandra Kessler, sandra.kessler@brennhagen-software.com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Ansprechpartner Forderung: Stefan Richter (Finanzcontroller), stefan.richter@brennhagen-elektronik.com, Tel. 07131/4823-2104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REG-RSG-IC-2023-12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10.01.2024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IC-Liefervereinbarung REG-RSG vom 1.1.2018 (Update 14.3.2022)</w:t>
            </w:r>
          </w:p>
        </w:tc>
      </w:tr>
      <w:tr>
        <w:tc>
          <w:tcPr>
            <w:tcW w:type="dxa" w:w="4320"/>
          </w:tcPr>
          <w:p>
            <w:r>
              <w:t>VP-Methode</w:t>
            </w:r>
          </w:p>
        </w:tc>
        <w:tc>
          <w:tcPr>
            <w:tcW w:type="dxa" w:w="4320"/>
          </w:tcPr>
          <w:p>
            <w:r>
              <w:t>Cost+ 6 % auf Materialkosten + 8 % auf Engineering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  <w:tr>
        <w:tc>
          <w:tcPr>
            <w:tcW w:type="dxa" w:w="4320"/>
          </w:tcPr>
          <w:p>
            <w:r>
              <w:t>Lieferbedingung</w:t>
            </w:r>
          </w:p>
        </w:tc>
        <w:tc>
          <w:tcPr>
            <w:tcW w:type="dxa" w:w="4320"/>
          </w:tcPr>
          <w:p>
            <w:r>
              <w:t>FCA Heilbronn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Hardware-Vorprodukte ICP-3 Cockpit-Board (Snapdragon SA8295P-Baugruppen)</w:t>
            </w:r>
          </w:p>
        </w:tc>
        <w:tc>
          <w:tcPr>
            <w:tcW w:type="dxa" w:w="2880"/>
          </w:tcPr>
          <w:p>
            <w:r>
              <w:t>1.705.613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ECU-900 Dev-Hardware (Aurix-Baugruppen, Adapter-Boards)</w:t>
            </w:r>
          </w:p>
        </w:tc>
        <w:tc>
          <w:tcPr>
            <w:tcW w:type="dxa" w:w="2880"/>
          </w:tcPr>
          <w:p>
            <w:r>
              <w:t>833.855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ADAS-V4D Engineering-Samples (Stand 4.2, Q1)</w:t>
            </w:r>
          </w:p>
        </w:tc>
        <w:tc>
          <w:tcPr>
            <w:tcW w:type="dxa" w:w="2880"/>
          </w:tcPr>
          <w:p>
            <w:r>
              <w:t>568.537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BMS-12 Test-Adapter und Mess-Equipment</w:t>
            </w:r>
          </w:p>
        </w:tc>
        <w:tc>
          <w:tcPr>
            <w:tcW w:type="dxa" w:w="2880"/>
          </w:tcPr>
          <w:p>
            <w:r>
              <w:t>379.025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(DHL Industrial, FCA Heilbronn)</w:t>
            </w:r>
          </w:p>
        </w:tc>
        <w:tc>
          <w:tcPr>
            <w:tcW w:type="dxa" w:w="2880"/>
          </w:tcPr>
          <w:p>
            <w:r>
              <w:t>113.707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Konzern-Umlage Sonstiges</w:t>
            </w:r>
          </w:p>
        </w:tc>
        <w:tc>
          <w:tcPr>
            <w:tcW w:type="dxa" w:w="2880"/>
          </w:tcPr>
          <w:p>
            <w:r>
              <w:t>189.512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3.790.252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720.148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4.510.400</w:t>
            </w:r>
          </w:p>
        </w:tc>
      </w:tr>
    </w:tbl>
    <w:p>
      <w:pPr>
        <w:pStyle w:val="Heading3"/>
      </w:pPr>
      <w:r>
        <w:t>Hinweise / Verrechnungspreise</w:t>
      </w:r>
    </w:p>
    <w:p>
      <w:r>
        <w:t>IC-Rechnung gemaess der internen Liefervereinbarung REG-RSG. Die Verrechnungspreis-Methodik (Cost+ 6 % bzw. 8 %) ist im Konzern-Local-File REG sowie im Local-File RSG dokumentiert. Im Berichtsmonat Dezember 2023 keine ausserplanmaessigen Anpassungen, keine Retro-Boni. Die Rechnung wird im Cash-Pool-Settlement T+1 zwischen REG (Volksbank Heilbronn) und RSG (HypoVereinsbank Muenchen) ueber die Konzern-Treasury (Markus Pflanzer) abgewickelt.</w:t>
      </w:r>
    </w:p>
    <w:p>
      <w:pPr>
        <w:pStyle w:val="Heading3"/>
      </w:pPr>
      <w:r>
        <w:t>Bestaetigungen</w:t>
      </w:r>
    </w:p>
    <w:p>
      <w:r>
        <w:t>Sachliche Richtigkeit: Stefan Richter (Finanzcontroller REG). Genehmigung: Andreas Maier (Geschaeftsfuehrer REG). Empfangs-Bestaetigung RSG: Dr. Klaus Kessler (Werkleiter RSG). Tax-Review: Group Tax Director Dr. Heike Berger.</w:t>
      </w:r>
    </w:p>
    <w:p>
      <w:pPr>
        <w:pStyle w:val="Heading3"/>
      </w:pPr>
      <w:r>
        <w:t>Unterschrift</w:t>
      </w:r>
    </w:p>
    <w:p>
      <w:r>
        <w:t>Ort, Datum: Heilbronn, den 10.01.2024</w:t>
      </w:r>
    </w:p>
    <w:p>
      <w:r>
        <w:t>_________________________            _________________________</w:t>
        <w:br/>
        <w:t>Stefan Richter                          Sandra Kessler</w:t>
        <w:br/>
        <w:t>Finanzcontroller REG                          Accounts Payable</w:t>
        <w:br/>
        <w:t>Brennhagen Elektronik GmbH                       Brennhagen Software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