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PRJ-2021-002 - Lessons Learned: ADAS-V4D Kalibrierungsplattform</w:t>
      </w:r>
    </w:p>
    <w:p>
      <w:pPr>
        <w:jc w:val="center"/>
      </w:pPr>
      <w:r>
        <w:t>Projekt-Post-Mortem nach Serienanlauf ADAS-V4D bei Mercedes-Benz EQS / EQE</w:t>
      </w:r>
    </w:p>
    <w:p/>
    <w:p>
      <w:pPr>
        <w:pStyle w:val="Heading3"/>
      </w:pPr>
      <w:r>
        <w:t>Projekt-Steckbrief</w:t>
      </w:r>
    </w:p>
    <w:p>
      <w:r>
        <w:t>Projekt-ID: PRJ-2021-002</w:t>
        <w:br/>
        <w:t>Projektname: ADAS-V4D Kalibrierungsplattform (HiL-basierte End-of-Line-Kalibrierung)</w:t>
        <w:br/>
        <w:t>Projektleitung: Lars Wittmann (Lead Developer RSG), Co-Lead Dr. Sabrina Halbig</w:t>
        <w:br/>
        <w:t>Projektlaufzeit: 15.03.2021 bis 30.11.2022 (geplant) / 28.02.2023 (tatsaechlich, +90 Tage)</w:t>
        <w:br/>
        <w:t>Budget geplant: 4,8 Mio. EUR / tatsaechlich 5,42 Mio. EUR (+12,9 %)</w:t>
        <w:br/>
        <w:t>Kunde: Mercedes-Benz Group AG (Werk Sindelfingen, EQS-Linie 17)</w:t>
        <w:br/>
        <w:t>Auftragsvolumen Serie: 38 Mio. EUR ueber Laufzeit 2023-2027 (geschaetzt)</w:t>
      </w:r>
    </w:p>
    <w:p>
      <w:pPr>
        <w:pStyle w:val="Heading3"/>
      </w:pPr>
      <w:r>
        <w:t>Ergebnisuebersicht</w:t>
      </w:r>
    </w:p>
    <w:p>
      <w:r>
        <w:t>Das Projekt PRJ-2021-002 zur Entwicklung der ADAS-V4D Radar-Fusion-Kalibrierungsplattform fuer die Serienanlaufphase im Mercedes-Benz Werk Sindelfingen wurde mit drei Monaten Verspaetung und 12,9 % Budgetueberschreitung abgeschlossen. Trotz der Ueberschreitungen erreichte die Plattform alle technischen Akzeptanzkriterien (Kalibrierzeit &lt; 75 Sekunden je ECU, Genauigkeit Winkelablage &lt; 0,15 Grad, Wiederholgenauigkeit &lt; 0,05 Grad). Mercedes-Benz hat das System per Final Acceptance Test (FAT) am 12.02.2023 abgenommen; der Serienanlauf erfolgte planmaessig am 06.03.2023.</w:t>
      </w:r>
    </w:p>
    <w:p>
      <w:pPr>
        <w:pStyle w:val="Heading3"/>
      </w:pPr>
      <w:r>
        <w:t>Was lief gut (Plus-Punkte)</w:t>
      </w:r>
    </w:p>
    <w:p>
      <w:pPr>
        <w:pStyle w:val="ListBullet"/>
      </w:pPr>
      <w:r>
        <w:t>Frueher Einbezug des OEM-Validierungsteams (Mercedes EQS-Engineering) bereits im Konzept-Gate G1 - vermied 18 spaetere Aenderungsantraege und stabilisierte die Anforderungsbasis bis Gate G3.</w:t>
      </w:r>
    </w:p>
    <w:p>
      <w:pPr>
        <w:pStyle w:val="ListBullet"/>
      </w:pPr>
      <w:r>
        <w:t>ASPICE Level 3 Assessment durch intacs-Auditor (ProcessExcellence Consulting) im Juli 2022 ohne Major-Finding - die fruehzeitige Etablierung der SUP-Prozesse (SUP.1, SUP.8, SUP.10) zahlte sich aus.</w:t>
      </w:r>
    </w:p>
    <w:p>
      <w:pPr>
        <w:pStyle w:val="ListBullet"/>
      </w:pPr>
      <w:r>
        <w:t>Wiederverwendung des AUTOSAR Adaptive Platform Stacks aus PRJ-2020-007 (BMS-12) sparte ca. 9 PT je Sprint und reduzierte die Toolchain-Einarbeitungszeit fuer neue Engineers auf &lt; 2 Wochen.</w:t>
      </w:r>
    </w:p>
    <w:p>
      <w:pPr>
        <w:pStyle w:val="ListBullet"/>
      </w:pPr>
      <w:r>
        <w:t>Stabile Pair-Programming-Praxis im FuSi-Team (ISO 26262 ASIL B) mit verpflichtendem 4-Augen-Review vor jedem Merge auf den release/* Branch - 0 ASIL-relevante Defekte im Field-Test.</w:t>
      </w:r>
    </w:p>
    <w:p>
      <w:pPr>
        <w:pStyle w:val="ListBullet"/>
      </w:pPr>
      <w:r>
        <w:t>Wittmann's woechentliches 30-Minuten 'Tech-Sync' mit Mercedes-Engineering (Mittwoch 09:00 MEZ) wurde von beiden Seiten als 'Best Practice' bewertet und ist nun Vorgabe fuer alle OEM-Projekte.</w:t>
      </w:r>
    </w:p>
    <w:p>
      <w:pPr>
        <w:pStyle w:val="Heading3"/>
      </w:pPr>
      <w:r>
        <w:t>Was lief nicht gut (Minus-Punkte)</w:t>
      </w:r>
    </w:p>
    <w:p>
      <w:pPr>
        <w:pStyle w:val="ListBullet"/>
      </w:pPr>
      <w:r>
        <w:t>Toolchain-Migration von Vector CANoe 13 auf 14 mitten in Sprint 22 (Mai 2022) verursachte 6 Wochen Verzug, da Skripte angepasst und alle 412 Test-Cases re-validiert werden mussten.</w:t>
      </w:r>
    </w:p>
    <w:p>
      <w:pPr>
        <w:pStyle w:val="ListBullet"/>
      </w:pPr>
      <w:r>
        <w:t>Personalfluktuation: 3 Senior Engineers (davon 2 ASPICE-Leads) verliessen RSG zwischen Q3/2021 und Q1/2022; Wissensverlust bei Radar-Signalverarbeitung erforderte externe Beratung (KPI: +220 TEUR).</w:t>
      </w:r>
    </w:p>
    <w:p>
      <w:pPr>
        <w:pStyle w:val="ListBullet"/>
      </w:pPr>
      <w:r>
        <w:t>Spaete Verfuegbarkeit der Mercedes-Radar-Frontends (Continental ARS510) erst im Juli 2022 statt Maerz 2022 - HiL-Validierung konnte erst Q3 statt Q2 starten.</w:t>
      </w:r>
    </w:p>
    <w:p>
      <w:pPr>
        <w:pStyle w:val="ListBullet"/>
      </w:pPr>
      <w:r>
        <w:t>Underestimation des Kalibrieralgorithmus-Tunings: geplant 80 PT, tatsaechlich 215 PT. Hauptursache Robustheit gegenueber EMV-Stoerungen in der Linie 17 (gepulste Schweissstationen in Nachbarstation).</w:t>
      </w:r>
    </w:p>
    <w:p>
      <w:pPr>
        <w:pStyle w:val="ListBullet"/>
      </w:pPr>
      <w:r>
        <w:t>Risikomanagement war zu reaktiv: Top-5-Risiken aus dem Risikoregister (R-001 bis R-005) trafen alle ein, ohne dass Mitigationsmassnahmen rechtzeitig griffen.</w:t>
      </w:r>
    </w:p>
    <w:p>
      <w:pPr>
        <w:pStyle w:val="Heading3"/>
      </w:pPr>
      <w:r>
        <w:t>Top-5 Lessons Learned</w:t>
      </w:r>
    </w:p>
    <w:p>
      <w:pPr>
        <w:pStyle w:val="ListBullet"/>
      </w:pPr>
      <w:r>
        <w:t>LL-01: Toolchain-Versionsstaende muessen vor Projektbeginn vertraglich fixiert und in der Konfigurationsmanagement-Akte (SUP.8) festgeschrieben werden. Migrationen waehrend laufender Sprints nur ueber formales Change Control Board (CCB) zulassen.</w:t>
      </w:r>
    </w:p>
    <w:p>
      <w:pPr>
        <w:pStyle w:val="ListBullet"/>
      </w:pPr>
      <w:r>
        <w:t>LL-02: Retention-Programm fuer Senior Engineers etablieren (Skill-Hochrisiko-Liste; max. 1 Abgang pro Quartal je Domain). HR-Konsequenz: Stay-Boni von 6 % Jahresgehalt fuer ASPICE-Leads in kritischen Projektphasen.</w:t>
      </w:r>
    </w:p>
    <w:p>
      <w:pPr>
        <w:pStyle w:val="ListBullet"/>
      </w:pPr>
      <w:r>
        <w:t>LL-03: Hardware-Komponentenverfuegbarkeit als Top-Risiko in jedes Projektrisikoregister; Pufferzeit von &gt;= 8 Wochen zwischen Hardware-Bereitstellung und HiL-Validierungsbeginn einplanen.</w:t>
      </w:r>
    </w:p>
    <w:p>
      <w:pPr>
        <w:pStyle w:val="ListBullet"/>
      </w:pPr>
      <w:r>
        <w:t>LL-04: Tuning-Aufwaende fuer Kalibrieralgorithmen werden systematisch unterschaetzt; neue Schaetzformel: 2,5x Basisaufwand bei OEM-Linien mit EMV-kritischer Umgebung.</w:t>
      </w:r>
    </w:p>
    <w:p>
      <w:pPr>
        <w:pStyle w:val="ListBullet"/>
      </w:pPr>
      <w:r>
        <w:t>LL-05: Monatliches Risiko-Review reicht nicht aus; ab PRJ-2023-001 wird woechentliches Top-Risiken Standup (15 Minuten, Freitag 14:00) verpflichtend.</w:t>
      </w:r>
    </w:p>
    <w:p>
      <w:pPr>
        <w:pStyle w:val="Heading3"/>
      </w:pPr>
      <w:r>
        <w:t>Folge-Massnahmen /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Toolchain-Vereinbarung als Vertragsanlage (LL-01)</w:t>
            </w:r>
          </w:p>
        </w:tc>
        <w:tc>
          <w:tcPr>
            <w:tcW w:type="dxa" w:w="2160"/>
          </w:tcPr>
          <w:p>
            <w:r>
              <w:t>Stefan Bayer (PMO)</w:t>
            </w:r>
          </w:p>
        </w:tc>
        <w:tc>
          <w:tcPr>
            <w:tcW w:type="dxa" w:w="2160"/>
          </w:tcPr>
          <w:p>
            <w:r>
              <w:t>31.03.2023</w:t>
            </w:r>
          </w:p>
        </w:tc>
        <w:tc>
          <w:tcPr>
            <w:tcW w:type="dxa" w:w="2160"/>
          </w:tcPr>
          <w:p>
            <w:r>
              <w:t>OFFEN</w:t>
            </w:r>
          </w:p>
        </w:tc>
      </w:tr>
      <w:tr>
        <w:tc>
          <w:tcPr>
            <w:tcW w:type="dxa" w:w="2160"/>
          </w:tcPr>
          <w:p>
            <w:r>
              <w:t>Stay-Bonus-Programm Senior Engineers (LL-02)</w:t>
            </w:r>
          </w:p>
        </w:tc>
        <w:tc>
          <w:tcPr>
            <w:tcW w:type="dxa" w:w="2160"/>
          </w:tcPr>
          <w:p>
            <w:r>
              <w:t>Petra Kessler (HR)</w:t>
            </w:r>
          </w:p>
        </w:tc>
        <w:tc>
          <w:tcPr>
            <w:tcW w:type="dxa" w:w="2160"/>
          </w:tcPr>
          <w:p>
            <w:r>
              <w:t>30.04.2023</w:t>
            </w:r>
          </w:p>
        </w:tc>
        <w:tc>
          <w:tcPr>
            <w:tcW w:type="dxa" w:w="2160"/>
          </w:tcPr>
          <w:p>
            <w:r>
              <w:t>IN ARBEIT</w:t>
            </w:r>
          </w:p>
        </w:tc>
      </w:tr>
      <w:tr>
        <w:tc>
          <w:tcPr>
            <w:tcW w:type="dxa" w:w="2160"/>
          </w:tcPr>
          <w:p>
            <w:r>
              <w:t>Update Risikoregister-Vorlage v3.0 (LL-03)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15.04.2023</w:t>
            </w:r>
          </w:p>
        </w:tc>
        <w:tc>
          <w:tcPr>
            <w:tcW w:type="dxa" w:w="2160"/>
          </w:tcPr>
          <w:p>
            <w:r>
              <w:t>OFFEN</w:t>
            </w:r>
          </w:p>
        </w:tc>
      </w:tr>
      <w:tr>
        <w:tc>
          <w:tcPr>
            <w:tcW w:type="dxa" w:w="2160"/>
          </w:tcPr>
          <w:p>
            <w:r>
              <w:t>Schaetzformel-Update (LL-04)</w:t>
            </w:r>
          </w:p>
        </w:tc>
        <w:tc>
          <w:tcPr>
            <w:tcW w:type="dxa" w:w="2160"/>
          </w:tcPr>
          <w:p>
            <w:r>
              <w:t>Dr. Sabrina Halbig</w:t>
            </w:r>
          </w:p>
        </w:tc>
        <w:tc>
          <w:tcPr>
            <w:tcW w:type="dxa" w:w="2160"/>
          </w:tcPr>
          <w:p>
            <w:r>
              <w:t>30.06.2023</w:t>
            </w:r>
          </w:p>
        </w:tc>
        <w:tc>
          <w:tcPr>
            <w:tcW w:type="dxa" w:w="2160"/>
          </w:tcPr>
          <w:p>
            <w:r>
              <w:t>OFFEN</w:t>
            </w:r>
          </w:p>
        </w:tc>
      </w:tr>
      <w:tr>
        <w:tc>
          <w:tcPr>
            <w:tcW w:type="dxa" w:w="2160"/>
          </w:tcPr>
          <w:p>
            <w:r>
              <w:t>Wkl. Top-Risiken Standup einfuehren (LL-05)</w:t>
            </w:r>
          </w:p>
        </w:tc>
        <w:tc>
          <w:tcPr>
            <w:tcW w:type="dxa" w:w="2160"/>
          </w:tcPr>
          <w:p>
            <w:r>
              <w:t>alle PL</w:t>
            </w:r>
          </w:p>
        </w:tc>
        <w:tc>
          <w:tcPr>
            <w:tcW w:type="dxa" w:w="2160"/>
          </w:tcPr>
          <w:p>
            <w:r>
              <w:t>ab 01.04.2023</w:t>
            </w:r>
          </w:p>
        </w:tc>
        <w:tc>
          <w:tcPr>
            <w:tcW w:type="dxa" w:w="2160"/>
          </w:tcPr>
          <w:p>
            <w:r>
              <w:t>GEPLANT</w:t>
            </w:r>
          </w:p>
        </w:tc>
      </w:tr>
    </w:tbl>
    <w:p>
      <w:pPr>
        <w:pStyle w:val="Heading3"/>
      </w:pPr>
      <w:r>
        <w:t>Schlussfolgerung</w:t>
      </w:r>
    </w:p>
    <w:p>
      <w:r>
        <w:t>Trotz operativer Schwierigkeiten gilt PRJ-2021-002 als strategischer Erfolg: RSG hat sich als kompetenter ADAS-Software-Partner bei Mercedes-Benz etabliert und konnte parallel den Anschlussauftrag fuer EQE / EQA-Plattform (PRJ-2023-004) im Volumen von rd. 22 Mio. EUR sichern. Die hier festgehaltenen Lessons Learned werden in das RSG-Wissensmanagement (Confluence Space 'RSG-LL') ueberfuehrt und sind verpflichtende Lektuere fuer neue Projektleiter.</w:t>
      </w:r>
    </w:p>
    <w:p>
      <w:pPr>
        <w:pStyle w:val="Heading3"/>
      </w:pPr>
      <w:r>
        <w:t>Freigabe</w:t>
      </w:r>
    </w:p>
    <w:p>
      <w:r>
        <w:t>Ort, Datum: Muenchen, den 15. Maerz 2023</w:t>
      </w:r>
    </w:p>
    <w:p>
      <w:r>
        <w:t>_________________________            _________________________</w:t>
        <w:br/>
        <w:t>Lars Wittmann                          Dr. Klaus Kessler</w:t>
        <w:br/>
        <w:t>Lead Developer / Projektleiter PRJ-2021-002                          Werkleiter / Geschaeftsfuehrer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