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(Shanghai) Co. Ltd.</w:t>
      </w:r>
    </w:p>
    <w:p>
      <w:r>
        <w:rPr>
          <w:sz w:val="18"/>
        </w:rPr>
        <w:t>Lane 1238, Pudong New Area, Shanghai 201210, China  |  913100007891234567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 Rechnung Nr. RCN-IC-202011-001 - Brennhagen (Shanghai) Co. Ltd. an Brennhagen Elektronik AG</w:t>
      </w:r>
    </w:p>
    <w:p>
      <w:pPr>
        <w:jc w:val="center"/>
      </w:pPr>
      <w:r>
        <w:t>Leistungszeitraum November 2020</w:t>
      </w:r>
    </w:p>
    <w:p/>
    <w:p>
      <w:pPr>
        <w:pStyle w:val="Heading3"/>
      </w:pPr>
      <w:r>
        <w:t>Rechnungsdaten</w:t>
      </w:r>
    </w:p>
    <w:p>
      <w:r>
        <w:t>Rechnungs-Nr.: RCN-IC-202011-001</w:t>
        <w:br/>
        <w:t>Rechnungsdatum: 6. November 2020</w:t>
        <w:br/>
        <w:t>Leistungszeitraum: 01. - 30. November 2020</w:t>
        <w:br/>
        <w:t>Zahlungsziel: 30 Tage netto (Konzern-IC-Vereinbarung 2020)</w:t>
        <w:br/>
        <w:t>Status: FINAL</w:t>
      </w:r>
    </w:p>
    <w:p>
      <w:pPr>
        <w:pStyle w:val="Heading3"/>
      </w:pPr>
      <w:r>
        <w:t>Rechnungssteller</w:t>
      </w:r>
    </w:p>
    <w:p>
      <w:r>
        <w:t>Brennhagen (Shanghai) Co. Ltd.</w:t>
        <w:br/>
        <w:t>Lane 1238, Pudong New Area, Shanghai 201210, China</w:t>
        <w:br/>
        <w:t>913100007891234567</w:t>
        <w:br/>
        <w:t>USt-IdNr.: gemaess landesublichem Recht</w:t>
      </w:r>
    </w:p>
    <w:p>
      <w:pPr>
        <w:pStyle w:val="Heading3"/>
      </w:pPr>
      <w:r>
        <w:t>Rechnungsempfaenger</w:t>
      </w:r>
    </w:p>
    <w:p>
      <w:r>
        <w:t>Brennhagen Elektronik AG</w:t>
        <w:br/>
        <w:t>Vaihinger Strasse 120, 70567 Stuttgart</w:t>
        <w:br/>
        <w:t>HRB 726451, Amtsgericht Stuttgart</w:t>
      </w:r>
    </w:p>
    <w:p>
      <w:pPr>
        <w:pStyle w:val="Heading3"/>
      </w:pPr>
      <w:r>
        <w:t>Leistungsbeschreibung</w:t>
      </w:r>
    </w:p>
    <w:p>
      <w:r>
        <w:t>Im Berichtsmonat November 2020 wurden im Rahmen der konzerninternen IC-Vereinbarung folgende Leistungen erbracht:</w:t>
      </w:r>
    </w:p>
    <w:p>
      <w:r>
        <w:t>Vertriebs- und Aftermarket-Leistungen Asien-Pazifik fuer ICP-3 und BMS-12; Repraesentation auf Auto Shanghai 2020 (DD-Demos OEM-Termine BYD, NIO, Geely)</w:t>
      </w:r>
    </w:p>
    <w:p>
      <w:r>
        <w:t>Die Verrechnung erfolgt zum Verrechnungspreis Cost-Plus 7,5 % gemaess Transfer-Pricing-Studie KPMG 2019 und der jeweiligen lokalen Cost-Pool-Vereinbarung. Stundensaetze und Materialnebenkosten sind in Anlage 1 ausgewiesen.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Pos.</w:t>
            </w:r>
          </w:p>
        </w:tc>
        <w:tc>
          <w:tcPr>
            <w:tcW w:type="dxa" w:w="2880"/>
          </w:tcPr>
          <w:p>
            <w:r>
              <w:t>Kategorie</w:t>
            </w:r>
          </w:p>
        </w:tc>
        <w:tc>
          <w:tcPr>
            <w:tcW w:type="dxa" w:w="2880"/>
          </w:tcPr>
          <w:p>
            <w:r>
              <w:t>Betrag (EUR)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Operative Leistungen / Engineering</w:t>
            </w:r>
          </w:p>
        </w:tc>
        <w:tc>
          <w:tcPr>
            <w:tcW w:type="dxa" w:w="2880"/>
          </w:tcPr>
          <w:p>
            <w:r>
              <w:t>109.525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Qualitaets-/Pruefleistungen</w:t>
            </w:r>
          </w:p>
        </w:tc>
        <w:tc>
          <w:tcPr>
            <w:tcW w:type="dxa" w:w="2880"/>
          </w:tcPr>
          <w:p>
            <w:r>
              <w:t>33.700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Logistik / Material-Nebenkosten</w:t>
            </w:r>
          </w:p>
        </w:tc>
        <w:tc>
          <w:tcPr>
            <w:tcW w:type="dxa" w:w="2880"/>
          </w:tcPr>
          <w:p>
            <w:r>
              <w:t>25.275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Netto-Summe</w:t>
            </w:r>
          </w:p>
        </w:tc>
        <w:tc>
          <w:tcPr>
            <w:tcW w:type="dxa" w:w="2880"/>
          </w:tcPr>
          <w:p>
            <w:r>
              <w:t>168.500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USt (Reverse Charge § 13b UStG / EU-B2B)</w:t>
            </w:r>
          </w:p>
        </w:tc>
        <w:tc>
          <w:tcPr>
            <w:tcW w:type="dxa" w:w="2880"/>
          </w:tcPr>
          <w:p>
            <w:r>
              <w:t>0,00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Rechnungsbetrag gesamt</w:t>
            </w:r>
          </w:p>
        </w:tc>
        <w:tc>
          <w:tcPr>
            <w:tcW w:type="dxa" w:w="2880"/>
          </w:tcPr>
          <w:p>
            <w:r>
              <w:t>168.500</w:t>
            </w:r>
          </w:p>
        </w:tc>
      </w:tr>
    </w:tbl>
    <w:p>
      <w:pPr>
        <w:pStyle w:val="Heading3"/>
      </w:pPr>
      <w:r>
        <w:t>Zahlungs-/Anlagen-Hinweise</w:t>
      </w:r>
    </w:p>
    <w:p>
      <w:r>
        <w:t>Der Rechnungsbetrag i. H. v. 168.500 EUR wird im Rahmen des monatlichen Konzern-Settlement-Runs verrechnet. Bei Verrechnung im Cash-Pool entfaellt eine separate Ueberweisung. Bei Saldo &gt; 50 TEUR ist eine Ausgleichszahlung am 25. des Folgemonats vorgesehen.</w:t>
      </w:r>
    </w:p>
    <w:p>
      <w:r>
        <w:t>Anlagen: Stundennachweis (Anlage 1), Kostenstellenuebersicht (Anlage 2), Cross-Charge-Vereinbarung 2020 (Anlage 3, Verweis).</w:t>
      </w:r>
    </w:p>
    <w:p>
      <w:pPr>
        <w:pStyle w:val="Heading3"/>
      </w:pPr>
      <w:r>
        <w:t>Hinweis Ablagefolder</w:t>
      </w:r>
    </w:p>
    <w:p>
      <w:r>
        <w:t>Hinweis: Diese Rechnung gehoert organisationsorganisatorisch in den Ablage-Pfad der emittierenden Gesellschaft (RCN), wurde jedoch im Zuge der konzernweiten Cross-Charge-Konsolidierung im RSG-Ordner abgelegt (siehe Konzernverrechnungsvereinbarung 2020, § 4 Abs. 3 zu zentraler Ablage).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