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</w:t>
      </w:r>
    </w:p>
    <w:p>
      <w:r>
        <w:rPr>
          <w:sz w:val="18"/>
        </w:rPr>
        <w:t>Salzstrasse 145,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Nr. REG-IC-202108-001 - Brennhagen Elektronik GmbH (Heilbronn) an Brennhagen Elektronik AG</w:t>
      </w:r>
    </w:p>
    <w:p>
      <w:pPr>
        <w:jc w:val="center"/>
      </w:pPr>
      <w:r>
        <w:t>Leistungszeitraum August 2021</w:t>
      </w:r>
    </w:p>
    <w:p/>
    <w:p>
      <w:pPr>
        <w:pStyle w:val="Heading3"/>
      </w:pPr>
      <w:r>
        <w:t>Rechnungsdaten</w:t>
      </w:r>
    </w:p>
    <w:p>
      <w:r>
        <w:t>Rechnungs-Nr.: REG-IC-202108-001</w:t>
        <w:br/>
        <w:t>Rechnungsdatum: 25. August 2021</w:t>
        <w:br/>
        <w:t>Leistungszeitraum: 01. - 30. August 2021</w:t>
        <w:br/>
        <w:t>Zahlungsziel: 30 Tage netto (Konzern-IC-Vereinbarung 2020)</w:t>
        <w:br/>
        <w:t>Status: FINAL</w:t>
      </w:r>
    </w:p>
    <w:p>
      <w:pPr>
        <w:pStyle w:val="Heading3"/>
      </w:pPr>
      <w:r>
        <w:t>Rechnungssteller</w:t>
      </w:r>
    </w:p>
    <w:p>
      <w:r>
        <w:t>Brennhagen Elektronik GmbH (Heilbronn)</w:t>
        <w:br/>
        <w:t>Salzstrasse 145, 74076 Heilbronn</w:t>
        <w:br/>
        <w:t>HRB 221456, Amtsgericht Heilbronn</w:t>
        <w:br/>
        <w:t>USt-IdNr.: gemaess landesublichem Recht</w:t>
      </w:r>
    </w:p>
    <w:p>
      <w:pPr>
        <w:pStyle w:val="Heading3"/>
      </w:pPr>
      <w:r>
        <w:t>Rechnungsempfaenger</w:t>
      </w:r>
    </w:p>
    <w:p>
      <w:r>
        <w:t>Brennhagen Elektronik AG</w:t>
        <w:br/>
        <w:t>Vaihinger Strasse 120, 70567 Stuttgart</w:t>
        <w:br/>
        <w:t>HRB 726451, Amtsgericht Stuttgart</w:t>
      </w:r>
    </w:p>
    <w:p>
      <w:pPr>
        <w:pStyle w:val="Heading3"/>
      </w:pPr>
      <w:r>
        <w:t>Leistungsbeschreibung</w:t>
      </w:r>
    </w:p>
    <w:p>
      <w:r>
        <w:t>Im Berichtsmonat August 2021 wurden im Rahmen der konzerninternen IC-Vereinbarung folgende Leistungen erbracht:</w:t>
      </w:r>
    </w:p>
    <w:p>
      <w:r>
        <w:t>Produktions-Service-Leistungen Hauptwerk Heilbronn fuer Konzernumlage (Linienbetreuung BMS-12, ICP-3); SMT-Linien-Wartung im Sommer-Shutdown; ASPICE-Audit-Vorbereitung</w:t>
      </w:r>
    </w:p>
    <w:p>
      <w:r>
        <w:t>Die Verrechnung erfolgt zum Verrechnungspreis Cost-Plus 7,5 % gemaess Transfer-Pricing-Studie KPMG 2019 und der jeweiligen lokalen Cost-Pool-Vereinbarung. Stundensaetze und Materialnebenkosten sind in Anlage 1 ausgewiesen.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Kategorie</w:t>
            </w:r>
          </w:p>
        </w:tc>
        <w:tc>
          <w:tcPr>
            <w:tcW w:type="dxa" w:w="2880"/>
          </w:tcPr>
          <w:p>
            <w:r>
              <w:t>Betrag (EUR)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Operative Leistungen / Engineering</w:t>
            </w:r>
          </w:p>
        </w:tc>
        <w:tc>
          <w:tcPr>
            <w:tcW w:type="dxa" w:w="2880"/>
          </w:tcPr>
          <w:p>
            <w:r>
              <w:t>341.705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Qualitaets-/Pruefleistungen</w:t>
            </w:r>
          </w:p>
        </w:tc>
        <w:tc>
          <w:tcPr>
            <w:tcW w:type="dxa" w:w="2880"/>
          </w:tcPr>
          <w:p>
            <w:r>
              <w:t>105.140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Logistik / Material-Nebenkosten</w:t>
            </w:r>
          </w:p>
        </w:tc>
        <w:tc>
          <w:tcPr>
            <w:tcW w:type="dxa" w:w="2880"/>
          </w:tcPr>
          <w:p>
            <w:r>
              <w:t>78.855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Netto-Summe</w:t>
            </w:r>
          </w:p>
        </w:tc>
        <w:tc>
          <w:tcPr>
            <w:tcW w:type="dxa" w:w="2880"/>
          </w:tcPr>
          <w:p>
            <w:r>
              <w:t>525.700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USt (Reverse Charge § 13b UStG / EU-B2B)</w:t>
            </w:r>
          </w:p>
        </w:tc>
        <w:tc>
          <w:tcPr>
            <w:tcW w:type="dxa" w:w="2880"/>
          </w:tcPr>
          <w:p>
            <w:r>
              <w:t>0,00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Rechnungsbetrag gesamt</w:t>
            </w:r>
          </w:p>
        </w:tc>
        <w:tc>
          <w:tcPr>
            <w:tcW w:type="dxa" w:w="2880"/>
          </w:tcPr>
          <w:p>
            <w:r>
              <w:t>525.700</w:t>
            </w:r>
          </w:p>
        </w:tc>
      </w:tr>
    </w:tbl>
    <w:p>
      <w:pPr>
        <w:pStyle w:val="Heading3"/>
      </w:pPr>
      <w:r>
        <w:t>Zahlungs-/Anlagen-Hinweise</w:t>
      </w:r>
    </w:p>
    <w:p>
      <w:r>
        <w:t>Der Rechnungsbetrag i. H. v. 525.700 EUR wird im Rahmen des monatlichen Konzern-Settlement-Runs verrechnet. Bei Verrechnung im Cash-Pool entfaellt eine separate Ueberweisung. Bei Saldo &gt; 50 TEUR ist eine Ausgleichszahlung am 25. des Folgemonats vorgesehen.</w:t>
      </w:r>
    </w:p>
    <w:p>
      <w:r>
        <w:t>Anlagen: Stundennachweis (Anlage 1), Kostenstellenuebersicht (Anlage 2), Cross-Charge-Vereinbarung 2020 (Anlage 3, Verweis).</w:t>
      </w:r>
    </w:p>
    <w:p>
      <w:pPr>
        <w:pStyle w:val="Heading3"/>
      </w:pPr>
      <w:r>
        <w:t>Hinweis Ablagefolder</w:t>
      </w:r>
    </w:p>
    <w:p>
      <w:r>
        <w:t>Hinweis: Diese Rechnung gehoert organisationsorganisatorisch in den Ablage-Pfad der emittierenden Gesellschaft (REG), wurde jedoch im Zuge der konzernweiten Cross-Charge-Konsolidierung im RSG-Ordner abgelegt (siehe Konzernverrechnungsvereinbarung 2020, § 4 Abs. 3 zu zentraler Ablage).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