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Anstellungsvertrag - HR-Manager/in Muenchen</w:t>
      </w:r>
    </w:p>
    <w:p>
      <w:pPr>
        <w:jc w:val="center"/>
      </w:pPr>
      <w:r>
        <w:t>Vertrag zwischen Brennhagen Software GmbH und Petra Kessler</w:t>
      </w:r>
    </w:p>
    <w:p/>
    <w:p>
      <w:pPr>
        <w:pStyle w:val="Heading3"/>
      </w:pPr>
      <w:r>
        <w:t>Vertragsparteien</w:t>
      </w:r>
    </w:p>
    <w:p>
      <w:r>
        <w:t>Brennhagen Software GmbH, Lyonel-Feininger-Strasse 28, 80807 Muenchen, eingetragen im Handelsregister des Amtsgerichts Muenchen unter HRB 319872, vertreten durch den Geschaeftsfuehrer Dr. Klaus Kessler (nachfolgend 'Arbeitgeberin' oder 'Gesellschaft' genannt),</w:t>
      </w:r>
    </w:p>
    <w:p>
      <w:r>
        <w:t>und</w:t>
      </w:r>
    </w:p>
    <w:p>
      <w:r>
        <w:t>Petra Kessler (nachfolgend 'Arbeitnehmer/in' oder 'Mitarbeiter/in' genannt) - gemeinsam die 'Parteien'.</w:t>
      </w:r>
    </w:p>
    <w:p>
      <w:pPr>
        <w:pStyle w:val="Heading3"/>
      </w:pPr>
      <w:r>
        <w:t>Praeambel</w:t>
      </w:r>
    </w:p>
    <w:p>
      <w:r>
        <w:t>Die Brennhagen Software GmbH ist als 100%ige Tochtergesellschaft der Brennhagen Elektronik AG (Stuttgart, HRB 726451) das Embedded-Software- und ADAS-Kompetenzzentrum des Brennhagen-Konzerns. Die Gesellschaft entwickelt sicherheitskritische Softwarekomponenten gemaess ISO 26262 (ASIL A-D) sowie ASPICE Level 2-3 fuer namhafte OEM-Kunden (BMW, Mercedes-Benz, Volkswagen, Stellantis). Die Einstellung erfolgt zur Verstaerkung des Standorts Muenchen (340 Mitarbeiter).</w:t>
      </w:r>
    </w:p>
    <w:p>
      <w:pPr>
        <w:pStyle w:val="Heading3"/>
      </w:pPr>
      <w:r>
        <w:t>Vertragsregelungen</w:t>
      </w:r>
    </w:p>
    <w:p>
      <w:pPr>
        <w:pStyle w:val="Heading4"/>
      </w:pPr>
      <w:r>
        <w:t>§ 1 Beginn, Position, Taetigkeit</w:t>
      </w:r>
    </w:p>
    <w:p>
      <w:r>
        <w:rPr>
          <w:b/>
        </w:rPr>
        <w:t xml:space="preserve">(1) </w:t>
      </w:r>
      <w:r>
        <w:t>Das Anstellungsverhaeltnis beginnt am 01. Oktober 2022.</w:t>
      </w:r>
    </w:p>
    <w:p>
      <w:r>
        <w:rPr>
          <w:b/>
        </w:rPr>
        <w:t xml:space="preserve">(2) </w:t>
      </w:r>
      <w:r>
        <w:t>Der/Die Mitarbeiter/in wird als 'HR-Manager/in Muenchen' eingestellt. Verantwortung fuer HR Operations am Standort Muenchen (340 MA), Recruiting (Schwerpunkt Senior Software Engineers, ASPICE-Leads), Personalentwicklung, Tarif-/Betriebsratverhandlungen. Bericht an Geschaeftsfuehrung und HR-Direktor Holding Stuttgart.</w:t>
      </w:r>
    </w:p>
    <w:p>
      <w:r>
        <w:rPr>
          <w:b/>
        </w:rPr>
        <w:t xml:space="preserve">(3) </w:t>
      </w:r>
      <w:r>
        <w:t>Erforderliche Qualifikation und eingebrachte Expertise: Master Personalmanagement (Uni Augsburg, 2011); SHRM-SCP-Zertifizierung; 11 Jahre HR-Erfahrung (zuvor Infineon Technologies AG, Senior HR Business Partner).</w:t>
      </w:r>
    </w:p>
    <w:p>
      <w:r>
        <w:rPr>
          <w:b/>
        </w:rPr>
        <w:t xml:space="preserve">(4) </w:t>
      </w:r>
      <w:r>
        <w:t>Der Arbeitsort ist Muenchen (Standort Lyonel-Feininger-Strasse 28). Mobile Arbeit ist nach Massgabe der RSG-Betriebsvereinbarung 'Mobile Arbeit' (BV-MA-2021) bis zu 3 Tagen pro Woche moeglich; eine Anwesenheitspflicht am Standort besteht regelmaessig dienstags und donnerstags.</w:t>
      </w:r>
    </w:p>
    <w:p>
      <w:pPr>
        <w:pStyle w:val="Heading4"/>
      </w:pPr>
      <w:r>
        <w:t>§ 2 Probezeit, Befristung</w:t>
      </w:r>
    </w:p>
    <w:p>
      <w:r>
        <w:rPr>
          <w:b/>
        </w:rPr>
        <w:t xml:space="preserve">(1) </w:t>
      </w:r>
      <w:r>
        <w:t>Die ersten sechs Monate gelten als Probezeit. Waehrend der Probezeit kann das Arbeitsverhaeltnis von beiden Seiten mit einer Frist von zwei Wochen zum Monatsende ordentlich gekuendigt werden.</w:t>
      </w:r>
    </w:p>
    <w:p>
      <w:r>
        <w:rPr>
          <w:b/>
        </w:rPr>
        <w:t xml:space="preserve">(2) </w:t>
      </w:r>
      <w:r>
        <w:t>Der Vertrag wird auf unbestimmte Zeit geschlossen.</w:t>
      </w:r>
    </w:p>
    <w:p>
      <w:pPr>
        <w:pStyle w:val="Heading4"/>
      </w:pPr>
      <w:r>
        <w:t>§ 3 Verguetung</w:t>
      </w:r>
    </w:p>
    <w:p>
      <w:r>
        <w:rPr>
          <w:b/>
        </w:rPr>
        <w:t xml:space="preserve">(1) </w:t>
      </w:r>
      <w:r>
        <w:t>Das jaehrliche Bruttogrundgehalt betraegt 105.000 EUR. zahlbar in 12 gleichen Monatsraten jeweils zum Monatsende auf das vom Mitarbeiter benannte Konto.</w:t>
      </w:r>
    </w:p>
    <w:p>
      <w:r>
        <w:rPr>
          <w:b/>
        </w:rPr>
        <w:t xml:space="preserve">(2) </w:t>
      </w:r>
      <w:r>
        <w:t>Zusaetzlich erhaelt der/die Mitarbeiter/in einen variablen Bonus i. H. v. bis zu 18 % des Jahresgrundgehalts, abhaengig von Zielerreichung gemaess jaehrlicher Zielvereinbarung. Bewertungskriterien: individuelle Leistung (60 %), Teamziele (20 %), Konzernziel EBITDA-Marge (20 %).</w:t>
      </w:r>
    </w:p>
    <w:p>
      <w:r>
        <w:rPr>
          <w:b/>
        </w:rPr>
        <w:t xml:space="preserve">(3) </w:t>
      </w:r>
      <w:r>
        <w:t>Auszahlung des variablen Bonus erfolgt im April des Folgejahres nach Feststellung des Konzernjahresabschlusses und Bestaetigung durch die Geschaeftsfuehrung.</w:t>
      </w:r>
    </w:p>
    <w:p>
      <w:pPr>
        <w:pStyle w:val="Heading4"/>
      </w:pPr>
      <w:r>
        <w:t>§ 4 Arbeitszeit, Urlaub</w:t>
      </w:r>
    </w:p>
    <w:p>
      <w:r>
        <w:rPr>
          <w:b/>
        </w:rPr>
        <w:t xml:space="preserve">(1) </w:t>
      </w:r>
      <w:r>
        <w:t>Die regelmaessige woechentliche Arbeitszeit betraegt 40 Stunden, verteilt von Montag bis Freitag. Vertrauensarbeitszeit gemaess BV-Vertrauensarbeitszeit-2019.</w:t>
      </w:r>
    </w:p>
    <w:p>
      <w:r>
        <w:rPr>
          <w:b/>
        </w:rPr>
        <w:t xml:space="preserve">(2) </w:t>
      </w:r>
      <w:r>
        <w:t>Der Urlaubsanspruch betraegt 30 Arbeitstage pro Kalenderjahr (5-Tage-Woche).</w:t>
      </w:r>
    </w:p>
    <w:p>
      <w:r>
        <w:rPr>
          <w:b/>
        </w:rPr>
        <w:t xml:space="preserve">(3) </w:t>
      </w:r>
      <w:r>
        <w:t>Ueberstunden sind mit dem Gehalt abgegolten. Mehrarbeit ueber 10 Stunden pro Woche bedarf der Genehmigung des/der Vorgesetzten und kann durch Freizeit ausgeglichen werden.</w:t>
      </w:r>
    </w:p>
    <w:p>
      <w:pPr>
        <w:pStyle w:val="Heading4"/>
      </w:pPr>
      <w:r>
        <w:t>§ 5 Nebenleistungen</w:t>
      </w:r>
    </w:p>
    <w:p>
      <w:r>
        <w:rPr>
          <w:b/>
        </w:rPr>
        <w:t xml:space="preserve">(1) </w:t>
      </w:r>
      <w:r>
        <w:t>Firmen-Laptop (MacBook Pro 16'' oder Dell Latitude 7440 nach Wahl), Smartphone (iPhone 15 / Samsung Galaxy S24), Job-Ticket MVV-Premium fuer den Verbundraum Muenchen.</w:t>
      </w:r>
    </w:p>
    <w:p>
      <w:r>
        <w:rPr>
          <w:b/>
        </w:rPr>
        <w:t xml:space="preserve">(2) </w:t>
      </w:r>
      <w:r>
        <w:t>Betriebliche Altersvorsorge ueber Allianz Pensionsfonds AG mit Arbeitgeberzuschuss von 5 % des Bruttogehalts (Cap: 280 EUR/Monat).</w:t>
      </w:r>
    </w:p>
    <w:p>
      <w:r>
        <w:rPr>
          <w:b/>
        </w:rPr>
        <w:t xml:space="preserve">(3) </w:t>
      </w:r>
      <w:r>
        <w:t>Weiterbildungsbudget i. H. v. 3.000 EUR/Jahr fuer fachliche Zertifizierungen (z. B. ASPICE, ISO 26262 FSE, AUTOSAR Adaptive).</w:t>
      </w:r>
    </w:p>
    <w:p>
      <w:r>
        <w:rPr>
          <w:b/>
        </w:rPr>
        <w:t xml:space="preserve">(4) </w:t>
      </w:r>
      <w:r>
        <w:t>Mitgliedschaft im Urban Sports Club (Arbeitgeberzuschuss 50 %); Bike-Leasing JobRad.</w:t>
      </w:r>
    </w:p>
    <w:p>
      <w:pPr>
        <w:pStyle w:val="Heading4"/>
      </w:pPr>
      <w:r>
        <w:t>§ 6 Verschwiegenheit, IP</w:t>
      </w:r>
    </w:p>
    <w:p>
      <w:r>
        <w:rPr>
          <w:b/>
        </w:rPr>
        <w:t xml:space="preserve">(1) </w:t>
      </w:r>
      <w:r>
        <w:t>Der/Die Mitarbeiter/in verpflichtet sich zu strikter Verschwiegenheit ueber alle Betriebs- und Geschaeftsgeheimnisse - insbesondere Quellcode, Algorithmen, Kundenanforderungen, Preise und OEM-Spezifikationen. Die Verschwiegenheitspflicht gilt auch nach Beendigung des Arbeitsverhaeltnisses.</w:t>
      </w:r>
    </w:p>
    <w:p>
      <w:r>
        <w:rPr>
          <w:b/>
        </w:rPr>
        <w:t xml:space="preserve">(2) </w:t>
      </w:r>
      <w:r>
        <w:t>Alle im Rahmen der Taetigkeit geschaffenen Arbeitsergebnisse (Source Code, Dokumentation, Erfindungen, Designs) stehen ausschliesslich der Arbeitgeberin zu. Diensterfindungen werden nach dem ArbEG behandelt.</w:t>
      </w:r>
    </w:p>
    <w:p>
      <w:pPr>
        <w:pStyle w:val="Heading4"/>
      </w:pPr>
      <w:r>
        <w:t>§ 7 Kuendigung</w:t>
      </w:r>
    </w:p>
    <w:p>
      <w:r>
        <w:rPr>
          <w:b/>
        </w:rPr>
        <w:t xml:space="preserve">(1) </w:t>
      </w:r>
      <w:r>
        <w:t>Nach Ablauf der Probezeit gelten die gesetzlichen Kuendigungsfristen (§ 622 BGB), mindestens drei Monate zum Monatsende.</w:t>
      </w:r>
    </w:p>
    <w:p>
      <w:r>
        <w:rPr>
          <w:b/>
        </w:rPr>
        <w:t xml:space="preserve">(2) </w:t>
      </w:r>
      <w:r>
        <w:t>Eine ausserordentliche Kuendigung aus wichtigem Grund bleibt vorbehalten.</w:t>
      </w:r>
    </w:p>
    <w:p>
      <w:r>
        <w:rPr>
          <w:b/>
        </w:rPr>
        <w:t xml:space="preserve">(3) </w:t>
      </w:r>
      <w:r>
        <w:t>Bei Beendigung sind saemtliche Arbeitsmittel (Laptop, Smartphone, Schluessel, Zugangsausweise) unverzueglich zurueckzugeben.</w:t>
      </w:r>
    </w:p>
    <w:p>
      <w:pPr>
        <w:pStyle w:val="Heading4"/>
      </w:pPr>
      <w:r>
        <w:t>§ 8 Schlussbestimmungen</w:t>
      </w:r>
    </w:p>
    <w:p>
      <w:r>
        <w:rPr>
          <w:b/>
        </w:rPr>
        <w:t xml:space="preserve">(1) </w:t>
      </w:r>
      <w:r>
        <w:t>Aenderungen und Ergaenzungen beduerfen der Schriftform. Es gilt deutsches Recht. Gerichtsstand ist Muenchen.</w:t>
      </w:r>
    </w:p>
    <w:p>
      <w:r>
        <w:rPr>
          <w:b/>
        </w:rPr>
        <w:t xml:space="preserve">(2) </w:t>
      </w:r>
      <w:r>
        <w:t>Sollten einzelne Bestimmungen unwirksam sein, beruehrt dies nicht die Wirksamkeit der uebrigen Bestimmungen. Es gilt die salvatorische Klausel.</w:t>
      </w:r>
    </w:p>
    <w:p>
      <w:pPr>
        <w:pStyle w:val="Heading3"/>
      </w:pPr>
      <w:r>
        <w:t>Unterschriften</w:t>
      </w:r>
    </w:p>
    <w:p>
      <w:r>
        <w:t>Ort, Datum: Muenchen, den 01. Oktober 2022</w:t>
      </w:r>
    </w:p>
    <w:p>
      <w:r>
        <w:t>_________________________            _________________________</w:t>
        <w:br/>
        <w:t>Dr. Klaus Kessler                          Petra Kessler</w:t>
        <w:br/>
        <w:t>Geschaeftsfuehrer                          Mitarbeiter/in</w:t>
        <w:br/>
        <w:t>Brennhagen Software GmbH                       i. e. 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