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VERTRAULICH – STRENG VERTRAULICH / STRICTLY CONFIDENTIAL</w:t>
      </w:r>
    </w:p>
    <w:p>
      <w:pPr>
        <w:pStyle w:val="Heading1"/>
      </w:pPr>
      <w:r>
        <w:t>Brennhagen Software GmbH</w:t>
      </w:r>
    </w:p>
    <w:p>
      <w:r>
        <w:rPr>
          <w:sz w:val="18"/>
        </w:rPr>
        <w:t>Lyonel-Feininger-Strasse 28, 80807 Muenchen  |  HRB 319872, Amtsgericht Muenchen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Compliance-Report 2023 - Brennhagen Software GmbH</w:t>
      </w:r>
    </w:p>
    <w:p>
      <w:pPr>
        <w:jc w:val="center"/>
      </w:pPr>
      <w:r>
        <w:t>Jahresbericht der Compliance-Funktion RSG fuer das Geschaeftsjahr 2023</w:t>
      </w:r>
    </w:p>
    <w:p/>
    <w:p>
      <w:pPr>
        <w:pStyle w:val="Heading3"/>
      </w:pPr>
      <w:r>
        <w:t>Berichtszeitraum / Adressaten</w:t>
      </w:r>
    </w:p>
    <w:p>
      <w:r>
        <w:t>Berichtszeitraum: 01.01.2023 bis 31.12.2023</w:t>
        <w:br/>
        <w:t>Erstellt von: Dr. Sabrina Halbig (Compliance Officer RSG)</w:t>
        <w:br/>
        <w:t>Adressaten: Dr. Klaus Kessler (Geschaeftsfuehrer RSG), Group Compliance Officer Stuttgart (Dr. Cornelia Lerch), Aufsichtsrats-Pruefungsausschuss Brennhagen Elektronik AG</w:t>
        <w:br/>
        <w:t>Klassifizierung: STRENG VERTRAULICH - nur fuer den definierten Empfaengerkreis</w:t>
      </w:r>
    </w:p>
    <w:p>
      <w:pPr>
        <w:pStyle w:val="Heading3"/>
      </w:pPr>
      <w:r>
        <w:t>Zusammenfassung</w:t>
      </w:r>
    </w:p>
    <w:p>
      <w:r>
        <w:t>Im Berichtsjahr 2023 wurde das Compliance-Management-System (CMS) der Brennhagen Software GmbH weiterentwickelt und an die aktualisierten Konzernvorgaben (REA-Compliance-Richtlinie 2023, Stand 15.04.2023) angepasst. Es wurden keine wesentlichen Compliance-Verstoesse festgestellt. Drei meldepflichtige Hinweise gingen ueber das Whistleblower-System ein, davon eine weitere Untersuchung mit abschliessendem Ergebnis 'unbegruendet'. Die jaehrliche Compliance-Schulung wurde von 327 der 340 Mitarbeiter absolviert (96,2 %).</w:t>
      </w:r>
    </w:p>
    <w:p>
      <w:pPr>
        <w:pStyle w:val="Heading3"/>
      </w:pPr>
      <w:r>
        <w:t>Compliance-Organisation RSG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Funktion</w:t>
            </w:r>
          </w:p>
        </w:tc>
        <w:tc>
          <w:tcPr>
            <w:tcW w:type="dxa" w:w="2880"/>
          </w:tcPr>
          <w:p>
            <w:r>
              <w:t>Person</w:t>
            </w:r>
          </w:p>
        </w:tc>
        <w:tc>
          <w:tcPr>
            <w:tcW w:type="dxa" w:w="2880"/>
          </w:tcPr>
          <w:p>
            <w:r>
              <w:t>Berichtslinie</w:t>
            </w:r>
          </w:p>
        </w:tc>
      </w:tr>
      <w:tr>
        <w:tc>
          <w:tcPr>
            <w:tcW w:type="dxa" w:w="2880"/>
          </w:tcPr>
          <w:p>
            <w:r>
              <w:t>Geschaeftsfuehrer / CMS-Verantwortlicher</w:t>
            </w:r>
          </w:p>
        </w:tc>
        <w:tc>
          <w:tcPr>
            <w:tcW w:type="dxa" w:w="2880"/>
          </w:tcPr>
          <w:p>
            <w:r>
              <w:t>Dr. Klaus Kessler</w:t>
            </w:r>
          </w:p>
        </w:tc>
        <w:tc>
          <w:tcPr>
            <w:tcW w:type="dxa" w:w="2880"/>
          </w:tcPr>
          <w:p>
            <w:r>
              <w:t>Vorstand REA</w:t>
            </w:r>
          </w:p>
        </w:tc>
      </w:tr>
      <w:tr>
        <w:tc>
          <w:tcPr>
            <w:tcW w:type="dxa" w:w="2880"/>
          </w:tcPr>
          <w:p>
            <w:r>
              <w:t>Compliance Officer RSG</w:t>
            </w:r>
          </w:p>
        </w:tc>
        <w:tc>
          <w:tcPr>
            <w:tcW w:type="dxa" w:w="2880"/>
          </w:tcPr>
          <w:p>
            <w:r>
              <w:t>Dr. Sabrina Halbig</w:t>
            </w:r>
          </w:p>
        </w:tc>
        <w:tc>
          <w:tcPr>
            <w:tcW w:type="dxa" w:w="2880"/>
          </w:tcPr>
          <w:p>
            <w:r>
              <w:t>GF / Group Compliance</w:t>
            </w:r>
          </w:p>
        </w:tc>
      </w:tr>
      <w:tr>
        <w:tc>
          <w:tcPr>
            <w:tcW w:type="dxa" w:w="2880"/>
          </w:tcPr>
          <w:p>
            <w:r>
              <w:t>Datenschutzbeauftragte (DSB)</w:t>
            </w:r>
          </w:p>
        </w:tc>
        <w:tc>
          <w:tcPr>
            <w:tcW w:type="dxa" w:w="2880"/>
          </w:tcPr>
          <w:p>
            <w:r>
              <w:t>RA Andrea Reiter (extern, BvD)</w:t>
            </w:r>
          </w:p>
        </w:tc>
        <w:tc>
          <w:tcPr>
            <w:tcW w:type="dxa" w:w="2880"/>
          </w:tcPr>
          <w:p>
            <w:r>
              <w:t>Compliance / GF</w:t>
            </w:r>
          </w:p>
        </w:tc>
      </w:tr>
      <w:tr>
        <w:tc>
          <w:tcPr>
            <w:tcW w:type="dxa" w:w="2880"/>
          </w:tcPr>
          <w:p>
            <w:r>
              <w:t>Hinweisgeber-Beauftragter (LkSG)</w:t>
            </w:r>
          </w:p>
        </w:tc>
        <w:tc>
          <w:tcPr>
            <w:tcW w:type="dxa" w:w="2880"/>
          </w:tcPr>
          <w:p>
            <w:r>
              <w:t>Stefan Bayer (PMO)</w:t>
            </w:r>
          </w:p>
        </w:tc>
        <w:tc>
          <w:tcPr>
            <w:tcW w:type="dxa" w:w="2880"/>
          </w:tcPr>
          <w:p>
            <w:r>
              <w:t>Compliance</w:t>
            </w:r>
          </w:p>
        </w:tc>
      </w:tr>
      <w:tr>
        <w:tc>
          <w:tcPr>
            <w:tcW w:type="dxa" w:w="2880"/>
          </w:tcPr>
          <w:p>
            <w:r>
              <w:t>IT-Sicherheitsbeauftragter</w:t>
            </w:r>
          </w:p>
        </w:tc>
        <w:tc>
          <w:tcPr>
            <w:tcW w:type="dxa" w:w="2880"/>
          </w:tcPr>
          <w:p>
            <w:r>
              <w:t>Tobias Schwaiger</w:t>
            </w:r>
          </w:p>
        </w:tc>
        <w:tc>
          <w:tcPr>
            <w:tcW w:type="dxa" w:w="2880"/>
          </w:tcPr>
          <w:p>
            <w:r>
              <w:t>Compliance / IT</w:t>
            </w:r>
          </w:p>
        </w:tc>
      </w:tr>
    </w:tbl>
    <w:p>
      <w:pPr>
        <w:pStyle w:val="Heading3"/>
      </w:pPr>
      <w:r>
        <w:t>Compliance-Risiken 2023 - Schwerpunkte</w:t>
      </w:r>
    </w:p>
    <w:p>
      <w:pPr>
        <w:pStyle w:val="ListBullet"/>
      </w:pPr>
      <w:r>
        <w:t>Exportkontrolle / Sanktionen: Ueberwachung von Embargo-Lieferungen (Russland, Iran, Nordkorea); Dual-Use-Klassifizierung der ADAS-Software (Annex I EU-Verordnung 2021/821).</w:t>
      </w:r>
    </w:p>
    <w:p>
      <w:pPr>
        <w:pStyle w:val="ListBullet"/>
      </w:pPr>
      <w:r>
        <w:t>Datenschutz (DSGVO / BDSG-neu): Verarbeitung von Mitarbeiterdaten, Bewerberdaten, Fahrzeugdaten aus OEM-Testflotten; ein meldepflichtiger Datenschutzvorfall (Versand falscher Anhang an Bewerber) wurde fristgerecht (72 Std.) an LDA Bayern gemeldet.</w:t>
      </w:r>
    </w:p>
    <w:p>
      <w:pPr>
        <w:pStyle w:val="ListBullet"/>
      </w:pPr>
      <w:r>
        <w:t>Korruptionspraevention: jaehrliche Geschenke-/Einladungen-Erklaerung aller Fuehrungskraefte; Limit 50 EUR/Geschenk, 100 EUR/Einladung; alle Vorgaenge ueber 25 EUR sind im Compliance-Register zu dokumentieren.</w:t>
      </w:r>
    </w:p>
    <w:p>
      <w:pPr>
        <w:pStyle w:val="ListBullet"/>
      </w:pPr>
      <w:r>
        <w:t>Kartellrecht: jaehrliche Kartellrechtsschulung fuer Vertrieb und Einkauf; Verbot von Preisabsprachen mit Wettbewerbern (Elektrobit, etas, Vector).</w:t>
      </w:r>
    </w:p>
    <w:p>
      <w:pPr>
        <w:pStyle w:val="ListBullet"/>
      </w:pPr>
      <w:r>
        <w:t>Lieferkettensorgfaltspflichtengesetz (LkSG): RSG faellt erst ab 01.01.2024 unter den Anwendungsbereich; Vorbereitungen 2023 abgeschlossen (Risikoanalyse, Praeventionsmassnahmen).</w:t>
      </w:r>
    </w:p>
    <w:p>
      <w:pPr>
        <w:pStyle w:val="Heading3"/>
      </w:pPr>
      <w:r>
        <w:t>Hinweise 2023 ueber das BKMS-Whistleblower-System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Eingang</w:t>
            </w:r>
          </w:p>
        </w:tc>
        <w:tc>
          <w:tcPr>
            <w:tcW w:type="dxa" w:w="2160"/>
          </w:tcPr>
          <w:p>
            <w:r>
              <w:t>Inhalt (anonymisiert)</w:t>
            </w:r>
          </w:p>
        </w:tc>
        <w:tc>
          <w:tcPr>
            <w:tcW w:type="dxa" w:w="2160"/>
          </w:tcPr>
          <w:p>
            <w:r>
              <w:t>Ergebnis</w:t>
            </w:r>
          </w:p>
        </w:tc>
        <w:tc>
          <w:tcPr>
            <w:tcW w:type="dxa" w:w="2160"/>
          </w:tcPr>
          <w:p>
            <w:r>
              <w:t>Abgeschlossen</w:t>
            </w:r>
          </w:p>
        </w:tc>
      </w:tr>
      <w:tr>
        <w:tc>
          <w:tcPr>
            <w:tcW w:type="dxa" w:w="2160"/>
          </w:tcPr>
          <w:p>
            <w:r>
              <w:t>12.03.2023</w:t>
            </w:r>
          </w:p>
        </w:tc>
        <w:tc>
          <w:tcPr>
            <w:tcW w:type="dxa" w:w="2160"/>
          </w:tcPr>
          <w:p>
            <w:r>
              <w:t>Behauptung unzulaessiger Geschenkannahme Einkauf</w:t>
            </w:r>
          </w:p>
        </w:tc>
        <w:tc>
          <w:tcPr>
            <w:tcW w:type="dxa" w:w="2160"/>
          </w:tcPr>
          <w:p>
            <w:r>
              <w:t>unbegruendet (kein Vorfall)</w:t>
            </w:r>
          </w:p>
        </w:tc>
        <w:tc>
          <w:tcPr>
            <w:tcW w:type="dxa" w:w="2160"/>
          </w:tcPr>
          <w:p>
            <w:r>
              <w:t>28.04.2023</w:t>
            </w:r>
          </w:p>
        </w:tc>
      </w:tr>
      <w:tr>
        <w:tc>
          <w:tcPr>
            <w:tcW w:type="dxa" w:w="2160"/>
          </w:tcPr>
          <w:p>
            <w:r>
              <w:t>07.07.2023</w:t>
            </w:r>
          </w:p>
        </w:tc>
        <w:tc>
          <w:tcPr>
            <w:tcW w:type="dxa" w:w="2160"/>
          </w:tcPr>
          <w:p>
            <w:r>
              <w:t>Mobbing-Vorwurf gegen Teamlead R&amp;D</w:t>
            </w:r>
          </w:p>
        </w:tc>
        <w:tc>
          <w:tcPr>
            <w:tcW w:type="dxa" w:w="2160"/>
          </w:tcPr>
          <w:p>
            <w:r>
              <w:t>begruendet teilw., HR-Massnahmen</w:t>
            </w:r>
          </w:p>
        </w:tc>
        <w:tc>
          <w:tcPr>
            <w:tcW w:type="dxa" w:w="2160"/>
          </w:tcPr>
          <w:p>
            <w:r>
              <w:t>30.09.2023</w:t>
            </w:r>
          </w:p>
        </w:tc>
      </w:tr>
      <w:tr>
        <w:tc>
          <w:tcPr>
            <w:tcW w:type="dxa" w:w="2160"/>
          </w:tcPr>
          <w:p>
            <w:r>
              <w:t>19.10.2023</w:t>
            </w:r>
          </w:p>
        </w:tc>
        <w:tc>
          <w:tcPr>
            <w:tcW w:type="dxa" w:w="2160"/>
          </w:tcPr>
          <w:p>
            <w:r>
              <w:t>Datenmissbrauchsverdacht externer Dienstleister</w:t>
            </w:r>
          </w:p>
        </w:tc>
        <w:tc>
          <w:tcPr>
            <w:tcW w:type="dxa" w:w="2160"/>
          </w:tcPr>
          <w:p>
            <w:r>
              <w:t>unbegruendet (Missverstaendnis)</w:t>
            </w:r>
          </w:p>
        </w:tc>
        <w:tc>
          <w:tcPr>
            <w:tcW w:type="dxa" w:w="2160"/>
          </w:tcPr>
          <w:p>
            <w:r>
              <w:t>15.12.2023</w:t>
            </w:r>
          </w:p>
        </w:tc>
      </w:tr>
    </w:tbl>
    <w:p>
      <w:pPr>
        <w:pStyle w:val="Heading3"/>
      </w:pPr>
      <w:r>
        <w:t>Schulungen und Awareness</w:t>
      </w:r>
    </w:p>
    <w:p>
      <w:r>
        <w:t>2023 wurden folgende verpflichtende Online-Trainings (E-Learning-Plattform LMS-Brennhagen) durchgefuehrt: Code of Conduct (Quote 96,2 %), Datenschutz/DSGVO (96,2 %), Kartellrecht (Vertrieb/Einkauf, Quote 100 %), Korruptionspraevention/Geschenke (98,4 %), Informationssicherheit (95,1 %). Die Schulungsquote von &gt;= 95 % wurde in allen Pflichttrainings erreicht. Die noch fehlenden 3,8 % (Code of Conduct) sind ueberwiegend Langzeitkranke und Elternzeit-Faelle, fuer die das Training bei Rueckkehr nachgeholt wird.</w:t>
      </w:r>
    </w:p>
    <w:p>
      <w:pPr>
        <w:pStyle w:val="Heading3"/>
      </w:pPr>
      <w:r>
        <w:t>Massnahmen / Roadmap 2024</w:t>
      </w:r>
    </w:p>
    <w:p>
      <w:pPr>
        <w:pStyle w:val="ListBullet"/>
      </w:pPr>
      <w:r>
        <w:t>LkSG-Konformitaet: Implementierung der vollstaendigen Risikoanalyse fuer alle Tier-1-Lieferanten (rd. 80 Lieferanten weltweit) bis 30.06.2024.</w:t>
      </w:r>
    </w:p>
    <w:p>
      <w:pPr>
        <w:pStyle w:val="ListBullet"/>
      </w:pPr>
      <w:r>
        <w:t>ISO 27001:2022-Zertifizierung des RSG-Standorts (geplant Q4/2024) - Vorbereitung der Stage-1- und Stage-2-Audits durch TUEV SUED.</w:t>
      </w:r>
    </w:p>
    <w:p>
      <w:pPr>
        <w:pStyle w:val="ListBullet"/>
      </w:pPr>
      <w:r>
        <w:t>Aktualisierung des Risiko-Register Schwerpunkt KI/AI-Compliance (AI-Act-Vorbereitung).</w:t>
      </w:r>
    </w:p>
    <w:p>
      <w:pPr>
        <w:pStyle w:val="ListBullet"/>
      </w:pPr>
      <w:r>
        <w:t>Ausbau des Whistleblower-Systems um eine Sprachoption (englisch, polnisch, tschechisch) zur Anbindung weiterer Konzernstandorte.</w:t>
      </w:r>
    </w:p>
    <w:p>
      <w:pPr>
        <w:pStyle w:val="Heading3"/>
      </w:pPr>
      <w:r>
        <w:t>Unterschriften</w:t>
      </w:r>
    </w:p>
    <w:p>
      <w:r>
        <w:t>Ort, Datum: Muenchen, den 15. Februar 2024</w:t>
      </w:r>
    </w:p>
    <w:p>
      <w:r>
        <w:t>_________________________            _________________________</w:t>
        <w:br/>
        <w:t>Dr. Sabrina Halbig                          Dr. Klaus Kessler</w:t>
        <w:br/>
        <w:t>Compliance Officer RSG                          Geschaeftsfuehrer / CMS-Verantwortlicher</w:t>
        <w:br/>
        <w:t>Brennhagen Software GmbH                       Brennhagen Software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